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192" w:after="72" w:line="264" w:lineRule="atLeast"/>
        <w:outlineLvl w:val="2"/>
        <w:rPr>
          <w:rFonts w:ascii="URW Clarendon W01 Light" w:eastAsia="Times New Roman" w:hAnsi="URW Clarendon W01 Light" w:cs="Times New Roman"/>
          <w:color w:val="0046AD"/>
          <w:sz w:val="36"/>
          <w:szCs w:val="36"/>
          <w:lang w:eastAsia="fi-FI"/>
        </w:rPr>
      </w:pPr>
      <w:bookmarkStart w:id="0" w:name="_GoBack"/>
      <w:bookmarkEnd w:id="0"/>
      <w:r>
        <w:rPr>
          <w:rFonts w:ascii="URW Clarendon W01 Light" w:eastAsia="Times New Roman" w:hAnsi="URW Clarendon W01 Light" w:cs="Times New Roman"/>
          <w:color w:val="0046AD"/>
          <w:sz w:val="36"/>
          <w:szCs w:val="36"/>
          <w:lang w:eastAsia="fi-FI"/>
        </w:rPr>
        <w:t>Palkkakartoitus</w:t>
      </w:r>
    </w:p>
    <w:p>
      <w:pPr>
        <w:spacing w:before="288" w:after="120" w:line="264" w:lineRule="atLeast"/>
        <w:outlineLvl w:val="3"/>
        <w:rPr>
          <w:rFonts w:ascii="URW Clarendon W01 Light" w:eastAsia="Times New Roman" w:hAnsi="URW Clarendon W01 Light" w:cs="Times New Roman"/>
          <w:color w:val="0046AD"/>
          <w:sz w:val="30"/>
          <w:szCs w:val="30"/>
          <w:lang w:eastAsia="fi-FI"/>
        </w:rPr>
      </w:pPr>
      <w:r>
        <w:rPr>
          <w:rFonts w:ascii="URW Clarendon W01 Light" w:eastAsia="Times New Roman" w:hAnsi="URW Clarendon W01 Light" w:cs="Times New Roman"/>
          <w:color w:val="0046AD"/>
          <w:sz w:val="30"/>
          <w:szCs w:val="30"/>
          <w:lang w:eastAsia="fi-FI"/>
        </w:rPr>
        <w:t>Käytännön toimet palkkaerojen toteamiseksi ja korjaamiseksi</w:t>
      </w:r>
    </w:p>
    <w:p>
      <w:pPr>
        <w:spacing w:after="0" w:line="240" w:lineRule="auto"/>
        <w:rPr>
          <w:rFonts w:ascii="Times New Roman" w:eastAsia="Times New Roman" w:hAnsi="Times New Roman" w:cs="Times New Roman"/>
          <w:color w:val="333333"/>
          <w:sz w:val="21"/>
          <w:szCs w:val="21"/>
          <w:lang w:eastAsia="fi-FI"/>
        </w:rPr>
      </w:pPr>
      <w:r>
        <w:rPr>
          <w:rFonts w:ascii="Times New Roman" w:eastAsia="Times New Roman" w:hAnsi="Times New Roman" w:cs="Times New Roman"/>
          <w:color w:val="333333"/>
          <w:sz w:val="21"/>
          <w:szCs w:val="21"/>
          <w:lang w:eastAsia="fi-FI"/>
        </w:rPr>
        <w:t>Palkkakartoitus, joka on osa tasa-arvosuunnitelmaa, tarjoaa työpaikoille työvälineen tasa-arvon edistämiseksi. Tasa-arvosuunnitelmassa tarkastellaan työpaikan tilannetta, suunnitellaan toimenpiteet sekä arvioidaan aiempien tasa-arvosuunnitelmien sisältämien toimenpiteiden toteutusta.</w:t>
      </w:r>
      <w:r>
        <w:rPr>
          <w:rFonts w:ascii="Times New Roman" w:eastAsia="Times New Roman" w:hAnsi="Times New Roman" w:cs="Times New Roman"/>
          <w:color w:val="333333"/>
          <w:sz w:val="21"/>
          <w:szCs w:val="21"/>
          <w:lang w:eastAsia="fi-FI"/>
        </w:rPr>
        <w:br/>
      </w:r>
      <w:r>
        <w:rPr>
          <w:rFonts w:ascii="Times New Roman" w:eastAsia="Times New Roman" w:hAnsi="Times New Roman" w:cs="Times New Roman"/>
          <w:color w:val="333333"/>
          <w:sz w:val="21"/>
          <w:szCs w:val="21"/>
          <w:lang w:eastAsia="fi-FI"/>
        </w:rPr>
        <w:br/>
        <w:t xml:space="preserve">Jos työnantajan palveluksessa on säännöllisesti vähintään 30 työntekijää, työnantajan on laadittava erityisesti palkkausta ja muita palvelussuhteen ehtoja koskeva tasa-arvosuunnitelma, jonka mukaan toteutetaan tasa-arvoa edistävät toimet. Se on laadittava vähintään joka toinen vuosi. Suunnitelma voidaan sisällyttää henkilöstö- ja koulutussuunnitelmaan tai työsuojelun toimintaohjelmaan. </w:t>
      </w:r>
      <w:r>
        <w:rPr>
          <w:rFonts w:ascii="Times New Roman" w:eastAsia="Times New Roman" w:hAnsi="Times New Roman" w:cs="Times New Roman"/>
          <w:color w:val="333333"/>
          <w:sz w:val="21"/>
          <w:szCs w:val="21"/>
          <w:lang w:eastAsia="fi-FI"/>
        </w:rPr>
        <w:br/>
      </w:r>
      <w:r>
        <w:rPr>
          <w:rFonts w:ascii="Times New Roman" w:eastAsia="Times New Roman" w:hAnsi="Times New Roman" w:cs="Times New Roman"/>
          <w:color w:val="333333"/>
          <w:sz w:val="21"/>
          <w:szCs w:val="21"/>
          <w:lang w:eastAsia="fi-FI"/>
        </w:rPr>
        <w:br/>
        <w:t>Tasa-arvosuunnitelma on laadittava yhteistyössä luottamusmiehen, luottamusvaltuutetun, työsuojeluvaltuutetun tai muiden henkilöstön nimeämien edustajien kanssa. Henkilöstön edustajilla on oltava riittävät mahdollisuudet osallistua ja vaikuttaa suunnitelmaa laadittaessa.</w:t>
      </w:r>
    </w:p>
    <w:p>
      <w:pPr>
        <w:spacing w:before="288" w:after="120" w:line="264" w:lineRule="atLeast"/>
        <w:outlineLvl w:val="3"/>
        <w:rPr>
          <w:rFonts w:ascii="URW Clarendon W01 Light" w:eastAsia="Times New Roman" w:hAnsi="URW Clarendon W01 Light" w:cs="Times New Roman"/>
          <w:color w:val="0046AD"/>
          <w:sz w:val="30"/>
          <w:szCs w:val="30"/>
          <w:lang w:eastAsia="fi-FI"/>
        </w:rPr>
      </w:pPr>
      <w:r>
        <w:rPr>
          <w:rFonts w:ascii="URW Clarendon W01 Light" w:eastAsia="Times New Roman" w:hAnsi="URW Clarendon W01 Light" w:cs="Times New Roman"/>
          <w:color w:val="0046AD"/>
          <w:sz w:val="30"/>
          <w:szCs w:val="30"/>
          <w:lang w:eastAsia="fi-FI"/>
        </w:rPr>
        <w:t>Tasa-arvosuunnitelman sisältö</w:t>
      </w:r>
    </w:p>
    <w:p>
      <w:pPr>
        <w:numPr>
          <w:ilvl w:val="0"/>
          <w:numId w:val="1"/>
        </w:numPr>
        <w:spacing w:before="75" w:after="75" w:line="240" w:lineRule="auto"/>
        <w:ind w:left="150"/>
        <w:rPr>
          <w:rFonts w:ascii="Times New Roman" w:eastAsia="Times New Roman" w:hAnsi="Times New Roman" w:cs="Times New Roman"/>
          <w:color w:val="333333"/>
          <w:sz w:val="21"/>
          <w:szCs w:val="21"/>
          <w:lang w:eastAsia="fi-FI"/>
        </w:rPr>
      </w:pPr>
      <w:r>
        <w:rPr>
          <w:rFonts w:ascii="Times New Roman" w:eastAsia="Times New Roman" w:hAnsi="Times New Roman" w:cs="Times New Roman"/>
          <w:color w:val="333333"/>
          <w:sz w:val="21"/>
          <w:szCs w:val="21"/>
          <w:lang w:eastAsia="fi-FI"/>
        </w:rPr>
        <w:t xml:space="preserve">selvitys työpaikan tasa-arvotilanteesta ja sen osana erittely naisten ja miesten sijoittumisesta eri tehtäviin sekä koko henkilöstöä koskeva palkkakartoitus naisten ja miesten tehtävien luokituksesta, palkoista ja palkkaeroista; </w:t>
      </w:r>
    </w:p>
    <w:p>
      <w:pPr>
        <w:numPr>
          <w:ilvl w:val="0"/>
          <w:numId w:val="1"/>
        </w:numPr>
        <w:spacing w:before="75" w:after="75" w:line="240" w:lineRule="auto"/>
        <w:ind w:left="150"/>
        <w:rPr>
          <w:rFonts w:ascii="Times New Roman" w:eastAsia="Times New Roman" w:hAnsi="Times New Roman" w:cs="Times New Roman"/>
          <w:color w:val="333333"/>
          <w:sz w:val="21"/>
          <w:szCs w:val="21"/>
          <w:lang w:eastAsia="fi-FI"/>
        </w:rPr>
      </w:pPr>
      <w:r>
        <w:rPr>
          <w:rFonts w:ascii="Times New Roman" w:eastAsia="Times New Roman" w:hAnsi="Times New Roman" w:cs="Times New Roman"/>
          <w:color w:val="333333"/>
          <w:sz w:val="21"/>
          <w:szCs w:val="21"/>
          <w:lang w:eastAsia="fi-FI"/>
        </w:rPr>
        <w:t xml:space="preserve">käynnistettäviksi tai toteutettaviksi suunnitellut tarpeelliset toimenpiteet tasa-arvon edistämiseksi ja palkkauksellisen tasa-arvon saavuttamiseksi; </w:t>
      </w:r>
    </w:p>
    <w:p>
      <w:pPr>
        <w:numPr>
          <w:ilvl w:val="0"/>
          <w:numId w:val="1"/>
        </w:numPr>
        <w:spacing w:before="75" w:after="75" w:line="240" w:lineRule="auto"/>
        <w:ind w:left="150"/>
        <w:rPr>
          <w:rFonts w:ascii="Times New Roman" w:eastAsia="Times New Roman" w:hAnsi="Times New Roman" w:cs="Times New Roman"/>
          <w:color w:val="333333"/>
          <w:sz w:val="21"/>
          <w:szCs w:val="21"/>
          <w:lang w:eastAsia="fi-FI"/>
        </w:rPr>
      </w:pPr>
      <w:r>
        <w:rPr>
          <w:rFonts w:ascii="Times New Roman" w:eastAsia="Times New Roman" w:hAnsi="Times New Roman" w:cs="Times New Roman"/>
          <w:color w:val="333333"/>
          <w:sz w:val="21"/>
          <w:szCs w:val="21"/>
          <w:lang w:eastAsia="fi-FI"/>
        </w:rPr>
        <w:t>arvio aikaisempaan tasa-arvosuunnitelmaan sisältyneiden toimenpiteiden toteuttamisesta ja tuloksista. Tasa-arvosuunnitelmasta ja sen päivittämisestä on tiedotettava henkilöstölle.</w:t>
      </w:r>
    </w:p>
    <w:p>
      <w:pPr>
        <w:spacing w:after="0" w:line="240" w:lineRule="auto"/>
        <w:rPr>
          <w:rFonts w:ascii="Times New Roman" w:eastAsia="Times New Roman" w:hAnsi="Times New Roman" w:cs="Times New Roman"/>
          <w:color w:val="333333"/>
          <w:sz w:val="21"/>
          <w:szCs w:val="21"/>
          <w:lang w:eastAsia="fi-FI"/>
        </w:rPr>
      </w:pPr>
      <w:r>
        <w:rPr>
          <w:rFonts w:ascii="Times New Roman" w:eastAsia="Times New Roman" w:hAnsi="Times New Roman" w:cs="Times New Roman"/>
          <w:color w:val="333333"/>
          <w:sz w:val="21"/>
          <w:szCs w:val="21"/>
          <w:lang w:eastAsia="fi-FI"/>
        </w:rPr>
        <w:t>Palkkakartoitus voidaan paikallisesti sopia tehtäväksi vähintään joka kolmas vuosi, jos tasa-arvosuunnitelma muilta osin tehdään vuosittain.</w:t>
      </w:r>
    </w:p>
    <w:p>
      <w:pPr>
        <w:spacing w:before="288" w:after="120" w:line="264" w:lineRule="atLeast"/>
        <w:outlineLvl w:val="3"/>
        <w:rPr>
          <w:rFonts w:ascii="URW Clarendon W01 Light" w:eastAsia="Times New Roman" w:hAnsi="URW Clarendon W01 Light" w:cs="Times New Roman"/>
          <w:color w:val="0046AD"/>
          <w:sz w:val="30"/>
          <w:szCs w:val="30"/>
          <w:lang w:eastAsia="fi-FI"/>
        </w:rPr>
      </w:pPr>
      <w:r>
        <w:rPr>
          <w:rFonts w:ascii="URW Clarendon W01 Light" w:eastAsia="Times New Roman" w:hAnsi="URW Clarendon W01 Light" w:cs="Times New Roman"/>
          <w:color w:val="0046AD"/>
          <w:sz w:val="30"/>
          <w:szCs w:val="30"/>
          <w:lang w:eastAsia="fi-FI"/>
        </w:rPr>
        <w:t xml:space="preserve">Palkkakartoitus tuo esiin perusteettomat palkkaerot </w:t>
      </w:r>
    </w:p>
    <w:p>
      <w:pPr>
        <w:spacing w:after="0" w:line="240" w:lineRule="auto"/>
        <w:rPr>
          <w:rFonts w:ascii="Times New Roman" w:eastAsia="Times New Roman" w:hAnsi="Times New Roman" w:cs="Times New Roman"/>
          <w:color w:val="333333"/>
          <w:sz w:val="21"/>
          <w:szCs w:val="21"/>
          <w:lang w:eastAsia="fi-FI"/>
        </w:rPr>
      </w:pPr>
      <w:r>
        <w:rPr>
          <w:rFonts w:ascii="Times New Roman" w:eastAsia="Times New Roman" w:hAnsi="Times New Roman" w:cs="Times New Roman"/>
          <w:color w:val="333333"/>
          <w:sz w:val="21"/>
          <w:szCs w:val="21"/>
          <w:lang w:eastAsia="fi-FI"/>
        </w:rPr>
        <w:t>Palkkakartoituksen avulla selvitetään, ettei saman työnantajan palveluksessa olevien samaa tai samanarvoista työtä tekevien naisten ja miesten välillä ole perusteettomia palkkaeroja. Palkkakartoitus koskee koko henkilöstöä, eli tarkasteluun otetaan mukaan myös määrä- ja osa-aikaiset, palkkausjärjestelmien ulkopuoliset ja sopimuspalkkaiset.</w:t>
      </w:r>
      <w:r>
        <w:rPr>
          <w:rFonts w:ascii="Times New Roman" w:eastAsia="Times New Roman" w:hAnsi="Times New Roman" w:cs="Times New Roman"/>
          <w:color w:val="333333"/>
          <w:sz w:val="21"/>
          <w:szCs w:val="21"/>
          <w:lang w:eastAsia="fi-FI"/>
        </w:rPr>
        <w:br/>
      </w:r>
      <w:r>
        <w:rPr>
          <w:rFonts w:ascii="Times New Roman" w:eastAsia="Times New Roman" w:hAnsi="Times New Roman" w:cs="Times New Roman"/>
          <w:color w:val="333333"/>
          <w:sz w:val="21"/>
          <w:szCs w:val="21"/>
          <w:lang w:eastAsia="fi-FI"/>
        </w:rPr>
        <w:br/>
        <w:t xml:space="preserve">Palkkakartoitus perustuu työnantajan käyttämiin ryhmiin. Jos työpaikalla on käytössä yhtenäinen vaativuusarviointijärjestelmä, sitä voidaan pitää luontevimpana pohjana. Ellei järjestelmää ei ole, työntekijät voidaan ryhmitellä tehtäväryhmittäin tai muulla perusteella. </w:t>
      </w:r>
    </w:p>
    <w:p>
      <w:pPr>
        <w:spacing w:before="288" w:after="120" w:line="264" w:lineRule="atLeast"/>
        <w:outlineLvl w:val="3"/>
        <w:rPr>
          <w:rFonts w:ascii="URW Clarendon W01 Light" w:eastAsia="Times New Roman" w:hAnsi="URW Clarendon W01 Light" w:cs="Times New Roman"/>
          <w:color w:val="0046AD"/>
          <w:sz w:val="30"/>
          <w:szCs w:val="30"/>
          <w:lang w:eastAsia="fi-FI"/>
        </w:rPr>
      </w:pPr>
      <w:r>
        <w:rPr>
          <w:rFonts w:ascii="URW Clarendon W01 Light" w:eastAsia="Times New Roman" w:hAnsi="URW Clarendon W01 Light" w:cs="Times New Roman"/>
          <w:color w:val="0046AD"/>
          <w:sz w:val="30"/>
          <w:szCs w:val="30"/>
          <w:lang w:eastAsia="fi-FI"/>
        </w:rPr>
        <w:t xml:space="preserve">Erojen syyt ja perusteet selvitettävä </w:t>
      </w:r>
    </w:p>
    <w:p>
      <w:pPr>
        <w:spacing w:after="0" w:line="240" w:lineRule="auto"/>
        <w:rPr>
          <w:rFonts w:ascii="Times New Roman" w:eastAsia="Times New Roman" w:hAnsi="Times New Roman" w:cs="Times New Roman"/>
          <w:color w:val="333333"/>
          <w:sz w:val="21"/>
          <w:szCs w:val="21"/>
          <w:lang w:eastAsia="fi-FI"/>
        </w:rPr>
      </w:pPr>
      <w:r>
        <w:rPr>
          <w:rFonts w:ascii="Times New Roman" w:eastAsia="Times New Roman" w:hAnsi="Times New Roman" w:cs="Times New Roman"/>
          <w:color w:val="333333"/>
          <w:sz w:val="21"/>
          <w:szCs w:val="21"/>
          <w:lang w:eastAsia="fi-FI"/>
        </w:rPr>
        <w:t xml:space="preserve">Jos palkkakartoituksen vaativuus- tai tehtäväryhmittäinen taikka muulla perusteella muodostettujen ryhmien tarkastelu tuo esiin selkeitä eroja naisten ja miesten palkkojen välillä, työnantajan on selvitettävä palkkaerojen syitä ja perusteita. Jos työpaikalla on käytössä palkkausjärjestelmiä, joissa palkat muodostuvat palkanosista, esiin tulleiden erojen syiden selvittämiseksi tarkastellaan keskeisimpiä palkanosia. </w:t>
      </w:r>
      <w:r>
        <w:rPr>
          <w:rFonts w:ascii="Times New Roman" w:eastAsia="Times New Roman" w:hAnsi="Times New Roman" w:cs="Times New Roman"/>
          <w:color w:val="333333"/>
          <w:sz w:val="21"/>
          <w:szCs w:val="21"/>
          <w:lang w:eastAsia="fi-FI"/>
        </w:rPr>
        <w:br/>
      </w:r>
      <w:r>
        <w:rPr>
          <w:rFonts w:ascii="Times New Roman" w:eastAsia="Times New Roman" w:hAnsi="Times New Roman" w:cs="Times New Roman"/>
          <w:color w:val="333333"/>
          <w:sz w:val="21"/>
          <w:szCs w:val="21"/>
          <w:lang w:eastAsia="fi-FI"/>
        </w:rPr>
        <w:br/>
        <w:t>Jos palkkaeroille ei ole hyväksyttävää syytä, työnantajan on ryhdyttävä asianmukaisiin korjaaviin toimenpiteisiin.</w:t>
      </w:r>
      <w:r>
        <w:rPr>
          <w:rFonts w:ascii="Times New Roman" w:eastAsia="Times New Roman" w:hAnsi="Times New Roman" w:cs="Times New Roman"/>
          <w:color w:val="333333"/>
          <w:sz w:val="21"/>
          <w:szCs w:val="21"/>
          <w:lang w:eastAsia="fi-FI"/>
        </w:rPr>
        <w:br/>
      </w:r>
      <w:r>
        <w:rPr>
          <w:rFonts w:ascii="Times New Roman" w:eastAsia="Times New Roman" w:hAnsi="Times New Roman" w:cs="Times New Roman"/>
          <w:color w:val="333333"/>
          <w:sz w:val="21"/>
          <w:szCs w:val="21"/>
          <w:lang w:eastAsia="fi-FI"/>
        </w:rPr>
        <w:br/>
        <w:t>Palkkatietojen tarkastelu eri sopimusalojen kesken on mahdollista. Lähtökohtana on töiden sisällön ja niiden työntekijöille asettamien vaatimusten vertaaminen.</w:t>
      </w:r>
    </w:p>
    <w:p>
      <w:pPr>
        <w:spacing w:before="288" w:after="120" w:line="264" w:lineRule="atLeast"/>
        <w:outlineLvl w:val="3"/>
        <w:rPr>
          <w:rFonts w:ascii="URW Clarendon W01 Light" w:eastAsia="Times New Roman" w:hAnsi="URW Clarendon W01 Light" w:cs="Times New Roman"/>
          <w:color w:val="0046AD"/>
          <w:sz w:val="30"/>
          <w:szCs w:val="30"/>
          <w:lang w:eastAsia="fi-FI"/>
        </w:rPr>
      </w:pPr>
      <w:r>
        <w:rPr>
          <w:rFonts w:ascii="URW Clarendon W01 Light" w:eastAsia="Times New Roman" w:hAnsi="URW Clarendon W01 Light" w:cs="Times New Roman"/>
          <w:color w:val="0046AD"/>
          <w:sz w:val="30"/>
          <w:szCs w:val="30"/>
          <w:lang w:eastAsia="fi-FI"/>
        </w:rPr>
        <w:t>Palkkakartoituksen sisältö</w:t>
      </w:r>
    </w:p>
    <w:p>
      <w:pPr>
        <w:spacing w:after="0" w:line="240" w:lineRule="auto"/>
        <w:rPr>
          <w:rFonts w:ascii="Times New Roman" w:eastAsia="Times New Roman" w:hAnsi="Times New Roman" w:cs="Times New Roman"/>
          <w:color w:val="333333"/>
          <w:sz w:val="21"/>
          <w:szCs w:val="21"/>
          <w:lang w:eastAsia="fi-FI"/>
        </w:rPr>
      </w:pPr>
      <w:r>
        <w:rPr>
          <w:rFonts w:ascii="Times New Roman" w:eastAsia="Times New Roman" w:hAnsi="Times New Roman" w:cs="Times New Roman"/>
          <w:color w:val="333333"/>
          <w:sz w:val="21"/>
          <w:szCs w:val="21"/>
          <w:lang w:eastAsia="fi-FI"/>
        </w:rPr>
        <w:lastRenderedPageBreak/>
        <w:t>Kustakin tarkasteluryhmästä lasketaan palkkojen keskiarvo (euroina tai naisten keskiarvon osuus miesten keskiarvosta prosentteina), myös hyödyllistä ilmoittaa esim. hajontalukuja tai mediaani.</w:t>
      </w:r>
      <w:r>
        <w:rPr>
          <w:rFonts w:ascii="Times New Roman" w:eastAsia="Times New Roman" w:hAnsi="Times New Roman" w:cs="Times New Roman"/>
          <w:color w:val="333333"/>
          <w:sz w:val="21"/>
          <w:szCs w:val="21"/>
          <w:lang w:eastAsia="fi-FI"/>
        </w:rPr>
        <w:br/>
      </w:r>
      <w:r>
        <w:rPr>
          <w:rFonts w:ascii="Times New Roman" w:eastAsia="Times New Roman" w:hAnsi="Times New Roman" w:cs="Times New Roman"/>
          <w:color w:val="333333"/>
          <w:sz w:val="21"/>
          <w:szCs w:val="21"/>
          <w:lang w:eastAsia="fi-FI"/>
        </w:rPr>
        <w:br/>
        <w:t>Laki ei määrittele, mitkä palkanosat on otettava huomioon, kuitenkaan mikään palkanosa ei saa olla syrjivä.</w:t>
      </w:r>
      <w:r>
        <w:rPr>
          <w:rFonts w:ascii="Times New Roman" w:eastAsia="Times New Roman" w:hAnsi="Times New Roman" w:cs="Times New Roman"/>
          <w:color w:val="333333"/>
          <w:sz w:val="21"/>
          <w:szCs w:val="21"/>
          <w:lang w:eastAsia="fi-FI"/>
        </w:rPr>
        <w:br/>
      </w:r>
      <w:r>
        <w:rPr>
          <w:rFonts w:ascii="Times New Roman" w:eastAsia="Times New Roman" w:hAnsi="Times New Roman" w:cs="Times New Roman"/>
          <w:color w:val="333333"/>
          <w:sz w:val="21"/>
          <w:szCs w:val="21"/>
          <w:lang w:eastAsia="fi-FI"/>
        </w:rPr>
        <w:br/>
        <w:t>Tietosuojasyistä kussakin tarkasteltavassa ryhmässä tulisi olla useampi nais- ja miespuolinen työntekijä, jotta yksittäisen työntekijän palkka ei käy ilmi. Samanarvoisia työntekijäryhmiä voi koota yhteen. Jos naisia tai miehiä on vain muutama, palkkoja voidaan vertailla kaikkien työntekijöiden keskiarvoon.</w:t>
      </w:r>
    </w:p>
    <w:p>
      <w:pPr>
        <w:spacing w:before="288" w:after="120" w:line="264" w:lineRule="atLeast"/>
        <w:outlineLvl w:val="3"/>
        <w:rPr>
          <w:rFonts w:ascii="URW Clarendon W01 Light" w:eastAsia="Times New Roman" w:hAnsi="URW Clarendon W01 Light" w:cs="Times New Roman"/>
          <w:color w:val="0046AD"/>
          <w:sz w:val="30"/>
          <w:szCs w:val="30"/>
          <w:lang w:eastAsia="fi-FI"/>
        </w:rPr>
      </w:pPr>
      <w:r>
        <w:rPr>
          <w:rFonts w:ascii="URW Clarendon W01 Light" w:eastAsia="Times New Roman" w:hAnsi="URW Clarendon W01 Light" w:cs="Times New Roman"/>
          <w:color w:val="0046AD"/>
          <w:sz w:val="30"/>
          <w:szCs w:val="30"/>
          <w:lang w:eastAsia="fi-FI"/>
        </w:rPr>
        <w:t>Palkkaerojen tarkempi selvittäminen</w:t>
      </w:r>
    </w:p>
    <w:p>
      <w:pPr>
        <w:spacing w:after="0" w:line="240" w:lineRule="auto"/>
        <w:rPr>
          <w:rFonts w:ascii="Times New Roman" w:eastAsia="Times New Roman" w:hAnsi="Times New Roman" w:cs="Times New Roman"/>
          <w:color w:val="333333"/>
          <w:sz w:val="21"/>
          <w:szCs w:val="21"/>
          <w:lang w:eastAsia="fi-FI"/>
        </w:rPr>
      </w:pPr>
      <w:r>
        <w:rPr>
          <w:rFonts w:ascii="Times New Roman" w:eastAsia="Times New Roman" w:hAnsi="Times New Roman" w:cs="Times New Roman"/>
          <w:color w:val="333333"/>
          <w:sz w:val="21"/>
          <w:szCs w:val="21"/>
          <w:lang w:eastAsia="fi-FI"/>
        </w:rPr>
        <w:t>Jos palkkakartoitus tuo esiin selkeitä eroja naisten ja miesten palkkojen välillä, työnantajan on selvitettävä palkkaerojen syitä ja perusteita.</w:t>
      </w:r>
      <w:r>
        <w:rPr>
          <w:rFonts w:ascii="Times New Roman" w:eastAsia="Times New Roman" w:hAnsi="Times New Roman" w:cs="Times New Roman"/>
          <w:color w:val="333333"/>
          <w:sz w:val="21"/>
          <w:szCs w:val="21"/>
          <w:lang w:eastAsia="fi-FI"/>
        </w:rPr>
        <w:br/>
      </w:r>
      <w:r>
        <w:rPr>
          <w:rFonts w:ascii="Times New Roman" w:eastAsia="Times New Roman" w:hAnsi="Times New Roman" w:cs="Times New Roman"/>
          <w:color w:val="333333"/>
          <w:sz w:val="21"/>
          <w:szCs w:val="21"/>
          <w:lang w:eastAsia="fi-FI"/>
        </w:rPr>
        <w:br/>
        <w:t>Lain perustelujen mukaan selkeä ero olisi kyseessä tilanteessa, jossa palkkakartoituksessa käytettyjen ryhmien naisten ja miesten palkkojen keskiarvot poikkeavat yksiselitteisesti toisistaan.  Systemaattisesti toistuvat erot antavat syyn tarkastella vähäisiäkin eroja.</w:t>
      </w:r>
      <w:r>
        <w:rPr>
          <w:rFonts w:ascii="Times New Roman" w:eastAsia="Times New Roman" w:hAnsi="Times New Roman" w:cs="Times New Roman"/>
          <w:color w:val="333333"/>
          <w:sz w:val="21"/>
          <w:szCs w:val="21"/>
          <w:lang w:eastAsia="fi-FI"/>
        </w:rPr>
        <w:br/>
      </w:r>
      <w:r>
        <w:rPr>
          <w:rFonts w:ascii="Times New Roman" w:eastAsia="Times New Roman" w:hAnsi="Times New Roman" w:cs="Times New Roman"/>
          <w:color w:val="333333"/>
          <w:sz w:val="21"/>
          <w:szCs w:val="21"/>
          <w:lang w:eastAsia="fi-FI"/>
        </w:rPr>
        <w:br/>
        <w:t>Jos työpaikalla on käytössä palkkausjärjestelmiä, joissa palkat muodostuvat palkanosista, esiin tulleiden erojen syiden selvittämiseksi tarkastellaan keskeisimpiä palkanosia. Laki ei määritä, mitkä ovat keskeisiä palkanosia, kuitenkaan mikään palkanosa ei saa olla syrjivä.</w:t>
      </w:r>
      <w:r>
        <w:rPr>
          <w:rFonts w:ascii="Times New Roman" w:eastAsia="Times New Roman" w:hAnsi="Times New Roman" w:cs="Times New Roman"/>
          <w:color w:val="333333"/>
          <w:sz w:val="21"/>
          <w:szCs w:val="21"/>
          <w:lang w:eastAsia="fi-FI"/>
        </w:rPr>
        <w:br/>
      </w:r>
      <w:r>
        <w:rPr>
          <w:rFonts w:ascii="Times New Roman" w:eastAsia="Times New Roman" w:hAnsi="Times New Roman" w:cs="Times New Roman"/>
          <w:color w:val="333333"/>
          <w:sz w:val="21"/>
          <w:szCs w:val="21"/>
          <w:lang w:eastAsia="fi-FI"/>
        </w:rPr>
        <w:br/>
        <w:t xml:space="preserve">Sopimuksissa palkanosia ovat esim. </w:t>
      </w:r>
      <w:r>
        <w:rPr>
          <w:rFonts w:ascii="Times New Roman" w:eastAsia="Times New Roman" w:hAnsi="Times New Roman" w:cs="Times New Roman"/>
          <w:color w:val="333333"/>
          <w:sz w:val="21"/>
          <w:szCs w:val="21"/>
          <w:lang w:eastAsia="fi-FI"/>
        </w:rPr>
        <w:br/>
        <w:t xml:space="preserve">-  tehtäväkohtainen palkka eli peruspalkka </w:t>
      </w:r>
      <w:r>
        <w:rPr>
          <w:rFonts w:ascii="Times New Roman" w:eastAsia="Times New Roman" w:hAnsi="Times New Roman" w:cs="Times New Roman"/>
          <w:color w:val="333333"/>
          <w:sz w:val="21"/>
          <w:szCs w:val="21"/>
          <w:lang w:eastAsia="fi-FI"/>
        </w:rPr>
        <w:br/>
        <w:t xml:space="preserve">- henkilökohtainen palkanosa </w:t>
      </w:r>
      <w:r>
        <w:rPr>
          <w:rFonts w:ascii="Times New Roman" w:eastAsia="Times New Roman" w:hAnsi="Times New Roman" w:cs="Times New Roman"/>
          <w:color w:val="333333"/>
          <w:sz w:val="21"/>
          <w:szCs w:val="21"/>
          <w:lang w:eastAsia="fi-FI"/>
        </w:rPr>
        <w:br/>
        <w:t xml:space="preserve">- palveluaikaan sidotut lisät </w:t>
      </w:r>
      <w:r>
        <w:rPr>
          <w:rFonts w:ascii="Times New Roman" w:eastAsia="Times New Roman" w:hAnsi="Times New Roman" w:cs="Times New Roman"/>
          <w:color w:val="333333"/>
          <w:sz w:val="21"/>
          <w:szCs w:val="21"/>
          <w:lang w:eastAsia="fi-FI"/>
        </w:rPr>
        <w:br/>
        <w:t xml:space="preserve">- henkilökohtainen lisä </w:t>
      </w:r>
      <w:r>
        <w:rPr>
          <w:rFonts w:ascii="Times New Roman" w:eastAsia="Times New Roman" w:hAnsi="Times New Roman" w:cs="Times New Roman"/>
          <w:color w:val="333333"/>
          <w:sz w:val="21"/>
          <w:szCs w:val="21"/>
          <w:lang w:eastAsia="fi-FI"/>
        </w:rPr>
        <w:br/>
        <w:t>- työaikakorvaukset</w:t>
      </w:r>
      <w:r>
        <w:rPr>
          <w:rFonts w:ascii="Times New Roman" w:eastAsia="Times New Roman" w:hAnsi="Times New Roman" w:cs="Times New Roman"/>
          <w:color w:val="333333"/>
          <w:sz w:val="21"/>
          <w:szCs w:val="21"/>
          <w:lang w:eastAsia="fi-FI"/>
        </w:rPr>
        <w:br/>
        <w:t>- tulos- ja voittopalkkiot</w:t>
      </w:r>
      <w:r>
        <w:rPr>
          <w:rFonts w:ascii="Times New Roman" w:eastAsia="Times New Roman" w:hAnsi="Times New Roman" w:cs="Times New Roman"/>
          <w:color w:val="333333"/>
          <w:sz w:val="21"/>
          <w:szCs w:val="21"/>
          <w:lang w:eastAsia="fi-FI"/>
        </w:rPr>
        <w:br/>
        <w:t>- urakkapalkkaus</w:t>
      </w:r>
      <w:r>
        <w:rPr>
          <w:rFonts w:ascii="Times New Roman" w:eastAsia="Times New Roman" w:hAnsi="Times New Roman" w:cs="Times New Roman"/>
          <w:color w:val="333333"/>
          <w:sz w:val="21"/>
          <w:szCs w:val="21"/>
          <w:lang w:eastAsia="fi-FI"/>
        </w:rPr>
        <w:br/>
      </w:r>
      <w:r>
        <w:rPr>
          <w:rFonts w:ascii="Times New Roman" w:eastAsia="Times New Roman" w:hAnsi="Times New Roman" w:cs="Times New Roman"/>
          <w:color w:val="333333"/>
          <w:sz w:val="21"/>
          <w:szCs w:val="21"/>
          <w:lang w:eastAsia="fi-FI"/>
        </w:rPr>
        <w:br/>
        <w:t>Palkanosien erittely antaa lisätietoa erojen syistä. Palkkaero saattaa muodostua kokonaan tai osittain siitä, että naisille tai miehille maksetaan enemmän ylityökorvauksia, lisiä tai suurempia tulospalkkioita. Mikäli palkkaeroa on vain joissakin palkanosissa, riittää että selvitetään, onko niille hyväksyttävät perusteet.</w:t>
      </w:r>
    </w:p>
    <w:p>
      <w:pPr>
        <w:spacing w:before="288" w:after="120" w:line="264" w:lineRule="atLeast"/>
        <w:outlineLvl w:val="3"/>
        <w:rPr>
          <w:rFonts w:ascii="URW Clarendon W01 Light" w:eastAsia="Times New Roman" w:hAnsi="URW Clarendon W01 Light" w:cs="Times New Roman"/>
          <w:color w:val="0046AD"/>
          <w:sz w:val="30"/>
          <w:szCs w:val="30"/>
          <w:lang w:eastAsia="fi-FI"/>
        </w:rPr>
      </w:pPr>
      <w:r>
        <w:rPr>
          <w:rFonts w:ascii="URW Clarendon W01 Light" w:eastAsia="Times New Roman" w:hAnsi="URW Clarendon W01 Light" w:cs="Times New Roman"/>
          <w:color w:val="0046AD"/>
          <w:sz w:val="30"/>
          <w:szCs w:val="30"/>
          <w:lang w:eastAsia="fi-FI"/>
        </w:rPr>
        <w:t>Hyväksyttävät syyt palkkaeroille</w:t>
      </w:r>
    </w:p>
    <w:p>
      <w:pPr>
        <w:spacing w:after="0" w:line="240" w:lineRule="auto"/>
        <w:rPr>
          <w:rFonts w:ascii="Times New Roman" w:eastAsia="Times New Roman" w:hAnsi="Times New Roman" w:cs="Times New Roman"/>
          <w:color w:val="333333"/>
          <w:sz w:val="21"/>
          <w:szCs w:val="21"/>
          <w:lang w:eastAsia="fi-FI"/>
        </w:rPr>
      </w:pPr>
      <w:r>
        <w:rPr>
          <w:rFonts w:ascii="Times New Roman" w:eastAsia="Times New Roman" w:hAnsi="Times New Roman" w:cs="Times New Roman"/>
          <w:color w:val="333333"/>
          <w:sz w:val="21"/>
          <w:szCs w:val="21"/>
          <w:lang w:eastAsia="fi-FI"/>
        </w:rPr>
        <w:t xml:space="preserve">Palkkaerojen hyväksyttäviä syyt voivat liittyä esimerkiksi </w:t>
      </w:r>
    </w:p>
    <w:p>
      <w:pPr>
        <w:numPr>
          <w:ilvl w:val="0"/>
          <w:numId w:val="2"/>
        </w:numPr>
        <w:spacing w:before="75" w:after="75" w:line="240" w:lineRule="auto"/>
        <w:ind w:left="0"/>
        <w:rPr>
          <w:rFonts w:ascii="Times New Roman" w:eastAsia="Times New Roman" w:hAnsi="Times New Roman" w:cs="Times New Roman"/>
          <w:color w:val="333333"/>
          <w:sz w:val="21"/>
          <w:szCs w:val="21"/>
          <w:lang w:eastAsia="fi-FI"/>
        </w:rPr>
      </w:pPr>
      <w:r>
        <w:rPr>
          <w:rFonts w:ascii="Times New Roman" w:eastAsia="Times New Roman" w:hAnsi="Times New Roman" w:cs="Times New Roman"/>
          <w:color w:val="333333"/>
          <w:sz w:val="21"/>
          <w:szCs w:val="21"/>
          <w:lang w:eastAsia="fi-FI"/>
        </w:rPr>
        <w:t xml:space="preserve">tehtävien vaativuuteen </w:t>
      </w:r>
    </w:p>
    <w:p>
      <w:pPr>
        <w:numPr>
          <w:ilvl w:val="0"/>
          <w:numId w:val="2"/>
        </w:numPr>
        <w:spacing w:before="75" w:after="75" w:line="240" w:lineRule="auto"/>
        <w:ind w:left="0"/>
        <w:rPr>
          <w:rFonts w:ascii="Times New Roman" w:eastAsia="Times New Roman" w:hAnsi="Times New Roman" w:cs="Times New Roman"/>
          <w:color w:val="333333"/>
          <w:sz w:val="21"/>
          <w:szCs w:val="21"/>
          <w:lang w:eastAsia="fi-FI"/>
        </w:rPr>
      </w:pPr>
      <w:r>
        <w:rPr>
          <w:rFonts w:ascii="Times New Roman" w:eastAsia="Times New Roman" w:hAnsi="Times New Roman" w:cs="Times New Roman"/>
          <w:color w:val="333333"/>
          <w:sz w:val="21"/>
          <w:szCs w:val="21"/>
          <w:lang w:eastAsia="fi-FI"/>
        </w:rPr>
        <w:t xml:space="preserve">henkilökohtaiseen suoritukseen </w:t>
      </w:r>
    </w:p>
    <w:p>
      <w:pPr>
        <w:numPr>
          <w:ilvl w:val="0"/>
          <w:numId w:val="2"/>
        </w:numPr>
        <w:spacing w:before="75" w:after="75" w:line="240" w:lineRule="auto"/>
        <w:ind w:left="0"/>
        <w:rPr>
          <w:rFonts w:ascii="Times New Roman" w:eastAsia="Times New Roman" w:hAnsi="Times New Roman" w:cs="Times New Roman"/>
          <w:color w:val="333333"/>
          <w:sz w:val="21"/>
          <w:szCs w:val="21"/>
          <w:lang w:eastAsia="fi-FI"/>
        </w:rPr>
      </w:pPr>
      <w:r>
        <w:rPr>
          <w:rFonts w:ascii="Times New Roman" w:eastAsia="Times New Roman" w:hAnsi="Times New Roman" w:cs="Times New Roman"/>
          <w:color w:val="333333"/>
          <w:sz w:val="21"/>
          <w:szCs w:val="21"/>
          <w:lang w:eastAsia="fi-FI"/>
        </w:rPr>
        <w:t xml:space="preserve">pidempään työkokemukseen </w:t>
      </w:r>
    </w:p>
    <w:p>
      <w:pPr>
        <w:numPr>
          <w:ilvl w:val="0"/>
          <w:numId w:val="2"/>
        </w:numPr>
        <w:spacing w:before="75" w:after="75" w:line="240" w:lineRule="auto"/>
        <w:ind w:left="0"/>
        <w:rPr>
          <w:rFonts w:ascii="Times New Roman" w:eastAsia="Times New Roman" w:hAnsi="Times New Roman" w:cs="Times New Roman"/>
          <w:color w:val="333333"/>
          <w:sz w:val="21"/>
          <w:szCs w:val="21"/>
          <w:lang w:eastAsia="fi-FI"/>
        </w:rPr>
      </w:pPr>
      <w:r>
        <w:rPr>
          <w:rFonts w:ascii="Times New Roman" w:eastAsia="Times New Roman" w:hAnsi="Times New Roman" w:cs="Times New Roman"/>
          <w:color w:val="333333"/>
          <w:sz w:val="21"/>
          <w:szCs w:val="21"/>
          <w:lang w:eastAsia="fi-FI"/>
        </w:rPr>
        <w:t xml:space="preserve">erityisvastuuseen, </w:t>
      </w:r>
    </w:p>
    <w:p>
      <w:pPr>
        <w:numPr>
          <w:ilvl w:val="0"/>
          <w:numId w:val="2"/>
        </w:numPr>
        <w:spacing w:before="75" w:after="75" w:line="240" w:lineRule="auto"/>
        <w:ind w:left="0"/>
        <w:rPr>
          <w:rFonts w:ascii="Times New Roman" w:eastAsia="Times New Roman" w:hAnsi="Times New Roman" w:cs="Times New Roman"/>
          <w:color w:val="333333"/>
          <w:sz w:val="21"/>
          <w:szCs w:val="21"/>
          <w:lang w:eastAsia="fi-FI"/>
        </w:rPr>
      </w:pPr>
      <w:r>
        <w:rPr>
          <w:rFonts w:ascii="Times New Roman" w:eastAsia="Times New Roman" w:hAnsi="Times New Roman" w:cs="Times New Roman"/>
          <w:color w:val="333333"/>
          <w:sz w:val="21"/>
          <w:szCs w:val="21"/>
          <w:lang w:eastAsia="fi-FI"/>
        </w:rPr>
        <w:t xml:space="preserve">epämukaviin työaikoihin, </w:t>
      </w:r>
    </w:p>
    <w:p>
      <w:pPr>
        <w:numPr>
          <w:ilvl w:val="0"/>
          <w:numId w:val="2"/>
        </w:numPr>
        <w:spacing w:before="75" w:after="75" w:line="240" w:lineRule="auto"/>
        <w:ind w:left="0"/>
        <w:rPr>
          <w:rFonts w:ascii="Times New Roman" w:eastAsia="Times New Roman" w:hAnsi="Times New Roman" w:cs="Times New Roman"/>
          <w:color w:val="333333"/>
          <w:sz w:val="21"/>
          <w:szCs w:val="21"/>
          <w:lang w:eastAsia="fi-FI"/>
        </w:rPr>
      </w:pPr>
      <w:r>
        <w:rPr>
          <w:rFonts w:ascii="Times New Roman" w:eastAsia="Times New Roman" w:hAnsi="Times New Roman" w:cs="Times New Roman"/>
          <w:color w:val="333333"/>
          <w:sz w:val="21"/>
          <w:szCs w:val="21"/>
          <w:lang w:eastAsia="fi-FI"/>
        </w:rPr>
        <w:t xml:space="preserve">työntekijän monikäyttöisyyteen tai </w:t>
      </w:r>
    </w:p>
    <w:p>
      <w:pPr>
        <w:numPr>
          <w:ilvl w:val="0"/>
          <w:numId w:val="2"/>
        </w:numPr>
        <w:spacing w:before="75" w:after="75" w:line="240" w:lineRule="auto"/>
        <w:ind w:left="0"/>
        <w:rPr>
          <w:rFonts w:ascii="Times New Roman" w:eastAsia="Times New Roman" w:hAnsi="Times New Roman" w:cs="Times New Roman"/>
          <w:color w:val="333333"/>
          <w:sz w:val="21"/>
          <w:szCs w:val="21"/>
          <w:lang w:eastAsia="fi-FI"/>
        </w:rPr>
      </w:pPr>
      <w:r>
        <w:rPr>
          <w:rFonts w:ascii="Times New Roman" w:eastAsia="Times New Roman" w:hAnsi="Times New Roman" w:cs="Times New Roman"/>
          <w:color w:val="333333"/>
          <w:sz w:val="21"/>
          <w:szCs w:val="21"/>
          <w:lang w:eastAsia="fi-FI"/>
        </w:rPr>
        <w:t>työolosuhteisiin.</w:t>
      </w:r>
    </w:p>
    <w:p>
      <w:pPr>
        <w:spacing w:after="0" w:line="240" w:lineRule="auto"/>
        <w:rPr>
          <w:rFonts w:ascii="Times New Roman" w:eastAsia="Times New Roman" w:hAnsi="Times New Roman" w:cs="Times New Roman"/>
          <w:color w:val="333333"/>
          <w:sz w:val="21"/>
          <w:szCs w:val="21"/>
          <w:lang w:eastAsia="fi-FI"/>
        </w:rPr>
      </w:pPr>
      <w:r>
        <w:rPr>
          <w:rFonts w:ascii="Times New Roman" w:eastAsia="Times New Roman" w:hAnsi="Times New Roman" w:cs="Times New Roman"/>
          <w:color w:val="333333"/>
          <w:sz w:val="21"/>
          <w:szCs w:val="21"/>
          <w:lang w:eastAsia="fi-FI"/>
        </w:rPr>
        <w:t>Palkkaerot voivat erityisestä syystä ajallisesti rajoitetun ajan johtua organisaatioiden yhdistämisestä, uuden palkkausjärjestelmän käyttöönotosta, tehtävien muuttumisesta ja palkkaan vaikuttavista markkinatekijöistä.</w:t>
      </w:r>
    </w:p>
    <w:p>
      <w:pPr>
        <w:spacing w:before="288" w:after="120" w:line="264" w:lineRule="atLeast"/>
        <w:outlineLvl w:val="3"/>
        <w:rPr>
          <w:rFonts w:ascii="URW Clarendon W01 Light" w:eastAsia="Times New Roman" w:hAnsi="URW Clarendon W01 Light" w:cs="Times New Roman"/>
          <w:color w:val="0046AD"/>
          <w:sz w:val="30"/>
          <w:szCs w:val="30"/>
          <w:lang w:eastAsia="fi-FI"/>
        </w:rPr>
      </w:pPr>
      <w:r>
        <w:rPr>
          <w:rFonts w:ascii="URW Clarendon W01 Light" w:eastAsia="Times New Roman" w:hAnsi="URW Clarendon W01 Light" w:cs="Times New Roman"/>
          <w:color w:val="0046AD"/>
          <w:sz w:val="30"/>
          <w:szCs w:val="30"/>
          <w:lang w:eastAsia="fi-FI"/>
        </w:rPr>
        <w:t xml:space="preserve">Palkkaerojen korjaaminen </w:t>
      </w:r>
    </w:p>
    <w:p>
      <w:pPr>
        <w:spacing w:line="240" w:lineRule="auto"/>
        <w:rPr>
          <w:rFonts w:ascii="Times New Roman" w:eastAsia="Times New Roman" w:hAnsi="Times New Roman" w:cs="Times New Roman"/>
          <w:color w:val="333333"/>
          <w:sz w:val="21"/>
          <w:szCs w:val="21"/>
          <w:lang w:eastAsia="fi-FI"/>
        </w:rPr>
      </w:pPr>
      <w:r>
        <w:rPr>
          <w:rFonts w:ascii="Times New Roman" w:eastAsia="Times New Roman" w:hAnsi="Times New Roman" w:cs="Times New Roman"/>
          <w:color w:val="333333"/>
          <w:sz w:val="21"/>
          <w:szCs w:val="21"/>
          <w:lang w:eastAsia="fi-FI"/>
        </w:rPr>
        <w:t>Jos palkkaeroille ei ole hyväksyttävää syytä, työnantajan on ryhdyttävä asianmukaisiin korjaaviin toimenpiteisiin. Työnantajan on edistettävä tasa-arvoa työelämässä ottaen huomioon käytettävissä olevat voimavarat ja muut asiaan vaikuttavat seikat.</w:t>
      </w:r>
      <w:r>
        <w:rPr>
          <w:rFonts w:ascii="Times New Roman" w:eastAsia="Times New Roman" w:hAnsi="Times New Roman" w:cs="Times New Roman"/>
          <w:color w:val="333333"/>
          <w:sz w:val="21"/>
          <w:szCs w:val="21"/>
          <w:lang w:eastAsia="fi-FI"/>
        </w:rPr>
        <w:br/>
      </w:r>
      <w:r>
        <w:rPr>
          <w:rFonts w:ascii="Times New Roman" w:eastAsia="Times New Roman" w:hAnsi="Times New Roman" w:cs="Times New Roman"/>
          <w:color w:val="333333"/>
          <w:sz w:val="21"/>
          <w:szCs w:val="21"/>
          <w:lang w:eastAsia="fi-FI"/>
        </w:rPr>
        <w:br/>
        <w:t xml:space="preserve">Mahdolliset palkkasyrjintätilanteet on tarpeen selvittää ja korjata työpaikalla nopeasti.  Asianmukaiset korjaavat </w:t>
      </w:r>
      <w:r>
        <w:rPr>
          <w:rFonts w:ascii="Times New Roman" w:eastAsia="Times New Roman" w:hAnsi="Times New Roman" w:cs="Times New Roman"/>
          <w:color w:val="333333"/>
          <w:sz w:val="21"/>
          <w:szCs w:val="21"/>
          <w:lang w:eastAsia="fi-FI"/>
        </w:rPr>
        <w:lastRenderedPageBreak/>
        <w:t xml:space="preserve">toimenpiteet tulisivat arvioitaviksi palkkakartoituksen tuloksista ja työpaikan tilanteesta lähtien. </w:t>
      </w:r>
      <w:r>
        <w:rPr>
          <w:rFonts w:ascii="Times New Roman" w:eastAsia="Times New Roman" w:hAnsi="Times New Roman" w:cs="Times New Roman"/>
          <w:color w:val="333333"/>
          <w:sz w:val="21"/>
          <w:szCs w:val="21"/>
          <w:lang w:eastAsia="fi-FI"/>
        </w:rPr>
        <w:br/>
      </w:r>
      <w:r>
        <w:rPr>
          <w:rFonts w:ascii="Times New Roman" w:eastAsia="Times New Roman" w:hAnsi="Times New Roman" w:cs="Times New Roman"/>
          <w:color w:val="333333"/>
          <w:sz w:val="21"/>
          <w:szCs w:val="21"/>
          <w:lang w:eastAsia="fi-FI"/>
        </w:rPr>
        <w:br/>
        <w:t>Palkkakartoituksen osoittamien erojen korjaamisessa voidaan hyödyntää paikallisia eriä.</w:t>
      </w:r>
      <w:r>
        <w:rPr>
          <w:rFonts w:ascii="Times New Roman" w:eastAsia="Times New Roman" w:hAnsi="Times New Roman" w:cs="Times New Roman"/>
          <w:color w:val="333333"/>
          <w:sz w:val="21"/>
          <w:szCs w:val="21"/>
          <w:lang w:eastAsia="fi-FI"/>
        </w:rPr>
        <w:br/>
      </w:r>
      <w:r>
        <w:rPr>
          <w:rFonts w:ascii="Times New Roman" w:eastAsia="Times New Roman" w:hAnsi="Times New Roman" w:cs="Times New Roman"/>
          <w:color w:val="333333"/>
          <w:sz w:val="21"/>
          <w:szCs w:val="21"/>
          <w:lang w:eastAsia="fi-FI"/>
        </w:rPr>
        <w:br/>
        <w:t>Palkkakartoituksen antamia tietoja voidaan hyödyntää tasa-arvosuunnittelussa: jos palkkakartoituksesta esimerkiksi ilmenisi, että naiset tai miehet ovat aliedustettuina paremmin palkatuissa tehtäväryhmissä, uralla etenemiseen voitaisiin kiinnittää huomiota.</w:t>
      </w:r>
    </w:p>
    <w:p>
      <w:pPr>
        <w:spacing w:after="0" w:line="240" w:lineRule="auto"/>
        <w:rPr>
          <w:rFonts w:ascii="Times New Roman" w:eastAsia="Times New Roman" w:hAnsi="Times New Roman" w:cs="Times New Roman"/>
          <w:color w:val="333333"/>
          <w:sz w:val="21"/>
          <w:szCs w:val="21"/>
          <w:lang w:eastAsia="fi-FI"/>
        </w:rPr>
      </w:pPr>
      <w:r>
        <w:rPr>
          <w:rFonts w:ascii="Times New Roman" w:eastAsia="Times New Roman" w:hAnsi="Times New Roman" w:cs="Times New Roman"/>
          <w:vanish/>
          <w:color w:val="333333"/>
          <w:sz w:val="21"/>
          <w:szCs w:val="21"/>
          <w:lang w:eastAsia="fi-FI"/>
        </w:rPr>
        <w:br w:type="textWrapping" w:clear="all"/>
      </w:r>
    </w:p>
    <w:p>
      <w:pPr>
        <w:spacing w:after="0" w:line="240" w:lineRule="auto"/>
        <w:rPr>
          <w:rFonts w:ascii="Times New Roman" w:eastAsia="Times New Roman" w:hAnsi="Times New Roman" w:cs="Times New Roman"/>
          <w:color w:val="333333"/>
          <w:sz w:val="21"/>
          <w:szCs w:val="21"/>
          <w:lang w:eastAsia="fi-FI"/>
        </w:rPr>
      </w:pPr>
      <w:r>
        <w:rPr>
          <w:rFonts w:ascii="Times New Roman" w:eastAsia="Times New Roman" w:hAnsi="Times New Roman" w:cs="Times New Roman"/>
          <w:noProof/>
          <w:color w:val="0000FF"/>
          <w:sz w:val="21"/>
          <w:szCs w:val="21"/>
          <w:lang w:eastAsia="fi-FI"/>
        </w:rPr>
        <w:drawing>
          <wp:inline distT="0" distB="0" distL="0" distR="0">
            <wp:extent cx="144780" cy="106680"/>
            <wp:effectExtent l="0" t="0" r="7620" b="7620"/>
            <wp:docPr id="1" name="Kuva 1" descr="print">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106680"/>
                    </a:xfrm>
                    <a:prstGeom prst="rect">
                      <a:avLst/>
                    </a:prstGeom>
                    <a:noFill/>
                    <a:ln>
                      <a:noFill/>
                    </a:ln>
                  </pic:spPr>
                </pic:pic>
              </a:graphicData>
            </a:graphic>
          </wp:inline>
        </w:drawing>
      </w:r>
    </w:p>
    <w:p>
      <w:pPr>
        <w:spacing w:before="288" w:after="120" w:line="264" w:lineRule="atLeast"/>
        <w:outlineLvl w:val="3"/>
        <w:rPr>
          <w:rFonts w:ascii="URW Clarendon W01 Light" w:eastAsia="Times New Roman" w:hAnsi="URW Clarendon W01 Light" w:cs="Times New Roman"/>
          <w:color w:val="0046AD"/>
          <w:sz w:val="30"/>
          <w:szCs w:val="30"/>
          <w:lang w:eastAsia="fi-FI"/>
        </w:rPr>
      </w:pPr>
      <w:r>
        <w:rPr>
          <w:rFonts w:ascii="URW Clarendon W01 Light" w:eastAsia="Times New Roman" w:hAnsi="URW Clarendon W01 Light" w:cs="Times New Roman"/>
          <w:color w:val="0046AD"/>
          <w:sz w:val="30"/>
          <w:szCs w:val="30"/>
          <w:lang w:eastAsia="fi-FI"/>
        </w:rPr>
        <w:t>Tau</w:t>
      </w:r>
      <w:r>
        <w:rPr>
          <w:rFonts w:ascii="URW Clarendon W01 Light" w:eastAsia="Times New Roman" w:hAnsi="URW Clarendon W01 Light" w:cs="Times New Roman"/>
          <w:color w:val="0046AD"/>
          <w:sz w:val="30"/>
          <w:szCs w:val="30"/>
          <w:lang w:eastAsia="fi-FI"/>
        </w:rPr>
        <w:softHyphen/>
        <w:t>luk</w:t>
      </w:r>
      <w:r>
        <w:rPr>
          <w:rFonts w:ascii="URW Clarendon W01 Light" w:eastAsia="Times New Roman" w:hAnsi="URW Clarendon W01 Light" w:cs="Times New Roman"/>
          <w:color w:val="0046AD"/>
          <w:sz w:val="30"/>
          <w:szCs w:val="30"/>
          <w:lang w:eastAsia="fi-FI"/>
        </w:rPr>
        <w:softHyphen/>
        <w:t>ko palk</w:t>
      </w:r>
      <w:r>
        <w:rPr>
          <w:rFonts w:ascii="URW Clarendon W01 Light" w:eastAsia="Times New Roman" w:hAnsi="URW Clarendon W01 Light" w:cs="Times New Roman"/>
          <w:color w:val="0046AD"/>
          <w:sz w:val="30"/>
          <w:szCs w:val="30"/>
          <w:lang w:eastAsia="fi-FI"/>
        </w:rPr>
        <w:softHyphen/>
        <w:t>kae</w:t>
      </w:r>
      <w:r>
        <w:rPr>
          <w:rFonts w:ascii="URW Clarendon W01 Light" w:eastAsia="Times New Roman" w:hAnsi="URW Clarendon W01 Light" w:cs="Times New Roman"/>
          <w:color w:val="0046AD"/>
          <w:sz w:val="30"/>
          <w:szCs w:val="30"/>
          <w:lang w:eastAsia="fi-FI"/>
        </w:rPr>
        <w:softHyphen/>
        <w:t>ro</w:t>
      </w:r>
      <w:r>
        <w:rPr>
          <w:rFonts w:ascii="URW Clarendon W01 Light" w:eastAsia="Times New Roman" w:hAnsi="URW Clarendon W01 Light" w:cs="Times New Roman"/>
          <w:color w:val="0046AD"/>
          <w:sz w:val="30"/>
          <w:szCs w:val="30"/>
          <w:lang w:eastAsia="fi-FI"/>
        </w:rPr>
        <w:softHyphen/>
        <w:t>jen kar</w:t>
      </w:r>
      <w:r>
        <w:rPr>
          <w:rFonts w:ascii="URW Clarendon W01 Light" w:eastAsia="Times New Roman" w:hAnsi="URW Clarendon W01 Light" w:cs="Times New Roman"/>
          <w:color w:val="0046AD"/>
          <w:sz w:val="30"/>
          <w:szCs w:val="30"/>
          <w:lang w:eastAsia="fi-FI"/>
        </w:rPr>
        <w:softHyphen/>
        <w:t>toit</w:t>
      </w:r>
      <w:r>
        <w:rPr>
          <w:rFonts w:ascii="URW Clarendon W01 Light" w:eastAsia="Times New Roman" w:hAnsi="URW Clarendon W01 Light" w:cs="Times New Roman"/>
          <w:color w:val="0046AD"/>
          <w:sz w:val="30"/>
          <w:szCs w:val="30"/>
          <w:lang w:eastAsia="fi-FI"/>
        </w:rPr>
        <w:softHyphen/>
        <w:t>ta</w:t>
      </w:r>
      <w:r>
        <w:rPr>
          <w:rFonts w:ascii="URW Clarendon W01 Light" w:eastAsia="Times New Roman" w:hAnsi="URW Clarendon W01 Light" w:cs="Times New Roman"/>
          <w:color w:val="0046AD"/>
          <w:sz w:val="30"/>
          <w:szCs w:val="30"/>
          <w:lang w:eastAsia="fi-FI"/>
        </w:rPr>
        <w:softHyphen/>
        <w:t>mi</w:t>
      </w:r>
      <w:r>
        <w:rPr>
          <w:rFonts w:ascii="URW Clarendon W01 Light" w:eastAsia="Times New Roman" w:hAnsi="URW Clarendon W01 Light" w:cs="Times New Roman"/>
          <w:color w:val="0046AD"/>
          <w:sz w:val="30"/>
          <w:szCs w:val="30"/>
          <w:lang w:eastAsia="fi-FI"/>
        </w:rPr>
        <w:softHyphen/>
        <w:t>seen</w:t>
      </w:r>
    </w:p>
    <w:p>
      <w:pPr>
        <w:spacing w:after="0" w:line="240" w:lineRule="auto"/>
        <w:rPr>
          <w:rFonts w:ascii="Times New Roman" w:eastAsia="Times New Roman" w:hAnsi="Times New Roman" w:cs="Times New Roman"/>
          <w:color w:val="333333"/>
          <w:sz w:val="21"/>
          <w:szCs w:val="21"/>
          <w:lang w:eastAsia="fi-FI"/>
        </w:rPr>
      </w:pPr>
      <w:r>
        <w:rPr>
          <w:rFonts w:ascii="Times New Roman" w:eastAsia="Times New Roman" w:hAnsi="Times New Roman" w:cs="Times New Roman"/>
          <w:color w:val="333333"/>
          <w:sz w:val="21"/>
          <w:szCs w:val="21"/>
          <w:lang w:eastAsia="fi-FI"/>
        </w:rPr>
        <w:t>Ohei</w:t>
      </w:r>
      <w:r>
        <w:rPr>
          <w:rFonts w:ascii="Times New Roman" w:eastAsia="Times New Roman" w:hAnsi="Times New Roman" w:cs="Times New Roman"/>
          <w:color w:val="333333"/>
          <w:sz w:val="21"/>
          <w:szCs w:val="21"/>
          <w:lang w:eastAsia="fi-FI"/>
        </w:rPr>
        <w:softHyphen/>
        <w:t>sen tau</w:t>
      </w:r>
      <w:r>
        <w:rPr>
          <w:rFonts w:ascii="Times New Roman" w:eastAsia="Times New Roman" w:hAnsi="Times New Roman" w:cs="Times New Roman"/>
          <w:color w:val="333333"/>
          <w:sz w:val="21"/>
          <w:szCs w:val="21"/>
          <w:lang w:eastAsia="fi-FI"/>
        </w:rPr>
        <w:softHyphen/>
        <w:t>lu</w:t>
      </w:r>
      <w:r>
        <w:rPr>
          <w:rFonts w:ascii="Times New Roman" w:eastAsia="Times New Roman" w:hAnsi="Times New Roman" w:cs="Times New Roman"/>
          <w:color w:val="333333"/>
          <w:sz w:val="21"/>
          <w:szCs w:val="21"/>
          <w:lang w:eastAsia="fi-FI"/>
        </w:rPr>
        <w:softHyphen/>
        <w:t>kon avul</w:t>
      </w:r>
      <w:r>
        <w:rPr>
          <w:rFonts w:ascii="Times New Roman" w:eastAsia="Times New Roman" w:hAnsi="Times New Roman" w:cs="Times New Roman"/>
          <w:color w:val="333333"/>
          <w:sz w:val="21"/>
          <w:szCs w:val="21"/>
          <w:lang w:eastAsia="fi-FI"/>
        </w:rPr>
        <w:softHyphen/>
        <w:t>la voi kar</w:t>
      </w:r>
      <w:r>
        <w:rPr>
          <w:rFonts w:ascii="Times New Roman" w:eastAsia="Times New Roman" w:hAnsi="Times New Roman" w:cs="Times New Roman"/>
          <w:color w:val="333333"/>
          <w:sz w:val="21"/>
          <w:szCs w:val="21"/>
          <w:lang w:eastAsia="fi-FI"/>
        </w:rPr>
        <w:softHyphen/>
        <w:t>toit</w:t>
      </w:r>
      <w:r>
        <w:rPr>
          <w:rFonts w:ascii="Times New Roman" w:eastAsia="Times New Roman" w:hAnsi="Times New Roman" w:cs="Times New Roman"/>
          <w:color w:val="333333"/>
          <w:sz w:val="21"/>
          <w:szCs w:val="21"/>
          <w:lang w:eastAsia="fi-FI"/>
        </w:rPr>
        <w:softHyphen/>
        <w:t>taa palk</w:t>
      </w:r>
      <w:r>
        <w:rPr>
          <w:rFonts w:ascii="Times New Roman" w:eastAsia="Times New Roman" w:hAnsi="Times New Roman" w:cs="Times New Roman"/>
          <w:color w:val="333333"/>
          <w:sz w:val="21"/>
          <w:szCs w:val="21"/>
          <w:lang w:eastAsia="fi-FI"/>
        </w:rPr>
        <w:softHyphen/>
        <w:t>kae</w:t>
      </w:r>
      <w:r>
        <w:rPr>
          <w:rFonts w:ascii="Times New Roman" w:eastAsia="Times New Roman" w:hAnsi="Times New Roman" w:cs="Times New Roman"/>
          <w:color w:val="333333"/>
          <w:sz w:val="21"/>
          <w:szCs w:val="21"/>
          <w:lang w:eastAsia="fi-FI"/>
        </w:rPr>
        <w:softHyphen/>
        <w:t>ro</w:t>
      </w:r>
      <w:r>
        <w:rPr>
          <w:rFonts w:ascii="Times New Roman" w:eastAsia="Times New Roman" w:hAnsi="Times New Roman" w:cs="Times New Roman"/>
          <w:color w:val="333333"/>
          <w:sz w:val="21"/>
          <w:szCs w:val="21"/>
          <w:lang w:eastAsia="fi-FI"/>
        </w:rPr>
        <w:softHyphen/>
        <w:t>ja työ</w:t>
      </w:r>
      <w:r>
        <w:rPr>
          <w:rFonts w:ascii="Times New Roman" w:eastAsia="Times New Roman" w:hAnsi="Times New Roman" w:cs="Times New Roman"/>
          <w:color w:val="333333"/>
          <w:sz w:val="21"/>
          <w:szCs w:val="21"/>
          <w:lang w:eastAsia="fi-FI"/>
        </w:rPr>
        <w:softHyphen/>
        <w:t>pai</w:t>
      </w:r>
      <w:r>
        <w:rPr>
          <w:rFonts w:ascii="Times New Roman" w:eastAsia="Times New Roman" w:hAnsi="Times New Roman" w:cs="Times New Roman"/>
          <w:color w:val="333333"/>
          <w:sz w:val="21"/>
          <w:szCs w:val="21"/>
          <w:lang w:eastAsia="fi-FI"/>
        </w:rPr>
        <w:softHyphen/>
        <w:t>kal</w:t>
      </w:r>
      <w:r>
        <w:rPr>
          <w:rFonts w:ascii="Times New Roman" w:eastAsia="Times New Roman" w:hAnsi="Times New Roman" w:cs="Times New Roman"/>
          <w:color w:val="333333"/>
          <w:sz w:val="21"/>
          <w:szCs w:val="21"/>
          <w:lang w:eastAsia="fi-FI"/>
        </w:rPr>
        <w:softHyphen/>
        <w:t>la. Ku</w:t>
      </w:r>
      <w:r>
        <w:rPr>
          <w:rFonts w:ascii="Times New Roman" w:eastAsia="Times New Roman" w:hAnsi="Times New Roman" w:cs="Times New Roman"/>
          <w:color w:val="333333"/>
          <w:sz w:val="21"/>
          <w:szCs w:val="21"/>
          <w:lang w:eastAsia="fi-FI"/>
        </w:rPr>
        <w:softHyphen/>
        <w:t>vas</w:t>
      </w:r>
      <w:r>
        <w:rPr>
          <w:rFonts w:ascii="Times New Roman" w:eastAsia="Times New Roman" w:hAnsi="Times New Roman" w:cs="Times New Roman"/>
          <w:color w:val="333333"/>
          <w:sz w:val="21"/>
          <w:szCs w:val="21"/>
          <w:lang w:eastAsia="fi-FI"/>
        </w:rPr>
        <w:softHyphen/>
        <w:t>sa on link</w:t>
      </w:r>
      <w:r>
        <w:rPr>
          <w:rFonts w:ascii="Times New Roman" w:eastAsia="Times New Roman" w:hAnsi="Times New Roman" w:cs="Times New Roman"/>
          <w:color w:val="333333"/>
          <w:sz w:val="21"/>
          <w:szCs w:val="21"/>
          <w:lang w:eastAsia="fi-FI"/>
        </w:rPr>
        <w:softHyphen/>
        <w:t>ki Excel-tie</w:t>
      </w:r>
      <w:r>
        <w:rPr>
          <w:rFonts w:ascii="Times New Roman" w:eastAsia="Times New Roman" w:hAnsi="Times New Roman" w:cs="Times New Roman"/>
          <w:color w:val="333333"/>
          <w:sz w:val="21"/>
          <w:szCs w:val="21"/>
          <w:lang w:eastAsia="fi-FI"/>
        </w:rPr>
        <w:softHyphen/>
        <w:t>dos</w:t>
      </w:r>
      <w:r>
        <w:rPr>
          <w:rFonts w:ascii="Times New Roman" w:eastAsia="Times New Roman" w:hAnsi="Times New Roman" w:cs="Times New Roman"/>
          <w:color w:val="333333"/>
          <w:sz w:val="21"/>
          <w:szCs w:val="21"/>
          <w:lang w:eastAsia="fi-FI"/>
        </w:rPr>
        <w:softHyphen/>
        <w:t>toon, li</w:t>
      </w:r>
      <w:r>
        <w:rPr>
          <w:rFonts w:ascii="Times New Roman" w:eastAsia="Times New Roman" w:hAnsi="Times New Roman" w:cs="Times New Roman"/>
          <w:color w:val="333333"/>
          <w:sz w:val="21"/>
          <w:szCs w:val="21"/>
          <w:lang w:eastAsia="fi-FI"/>
        </w:rPr>
        <w:softHyphen/>
        <w:t>säk</w:t>
      </w:r>
      <w:r>
        <w:rPr>
          <w:rFonts w:ascii="Times New Roman" w:eastAsia="Times New Roman" w:hAnsi="Times New Roman" w:cs="Times New Roman"/>
          <w:color w:val="333333"/>
          <w:sz w:val="21"/>
          <w:szCs w:val="21"/>
          <w:lang w:eastAsia="fi-FI"/>
        </w:rPr>
        <w:softHyphen/>
        <w:t>si tie</w:t>
      </w:r>
      <w:r>
        <w:rPr>
          <w:rFonts w:ascii="Times New Roman" w:eastAsia="Times New Roman" w:hAnsi="Times New Roman" w:cs="Times New Roman"/>
          <w:color w:val="333333"/>
          <w:sz w:val="21"/>
          <w:szCs w:val="21"/>
          <w:lang w:eastAsia="fi-FI"/>
        </w:rPr>
        <w:softHyphen/>
        <w:t>dos</w:t>
      </w:r>
      <w:r>
        <w:rPr>
          <w:rFonts w:ascii="Times New Roman" w:eastAsia="Times New Roman" w:hAnsi="Times New Roman" w:cs="Times New Roman"/>
          <w:color w:val="333333"/>
          <w:sz w:val="21"/>
          <w:szCs w:val="21"/>
          <w:lang w:eastAsia="fi-FI"/>
        </w:rPr>
        <w:softHyphen/>
        <w:t>to liit</w:t>
      </w:r>
      <w:r>
        <w:rPr>
          <w:rFonts w:ascii="Times New Roman" w:eastAsia="Times New Roman" w:hAnsi="Times New Roman" w:cs="Times New Roman"/>
          <w:color w:val="333333"/>
          <w:sz w:val="21"/>
          <w:szCs w:val="21"/>
          <w:lang w:eastAsia="fi-FI"/>
        </w:rPr>
        <w:softHyphen/>
        <w:t>tee</w:t>
      </w:r>
      <w:r>
        <w:rPr>
          <w:rFonts w:ascii="Times New Roman" w:eastAsia="Times New Roman" w:hAnsi="Times New Roman" w:cs="Times New Roman"/>
          <w:color w:val="333333"/>
          <w:sz w:val="21"/>
          <w:szCs w:val="21"/>
          <w:lang w:eastAsia="fi-FI"/>
        </w:rPr>
        <w:softHyphen/>
        <w:t xml:space="preserve">nä alla. </w:t>
      </w:r>
    </w:p>
    <w:p>
      <w:pPr>
        <w:spacing w:after="0" w:line="240" w:lineRule="auto"/>
        <w:jc w:val="center"/>
        <w:rPr>
          <w:rFonts w:ascii="Times New Roman" w:eastAsia="Times New Roman" w:hAnsi="Times New Roman" w:cs="Times New Roman"/>
          <w:color w:val="333333"/>
          <w:sz w:val="21"/>
          <w:szCs w:val="21"/>
          <w:lang w:eastAsia="fi-FI"/>
        </w:rPr>
      </w:pPr>
      <w:r>
        <w:rPr>
          <w:rFonts w:ascii="Times New Roman" w:eastAsia="Times New Roman" w:hAnsi="Times New Roman" w:cs="Times New Roman"/>
          <w:noProof/>
          <w:color w:val="0046AD"/>
          <w:sz w:val="21"/>
          <w:szCs w:val="21"/>
          <w:lang w:eastAsia="fi-FI"/>
        </w:rPr>
        <w:drawing>
          <wp:inline distT="0" distB="0" distL="0" distR="0">
            <wp:extent cx="2293620" cy="1722120"/>
            <wp:effectExtent l="0" t="0" r="0" b="0"/>
            <wp:docPr id="2" name="Kuva 2" descr="Palkkakartoitustaulukko 2015-04-17">
              <a:hlinkClick xmlns:a="http://schemas.openxmlformats.org/drawingml/2006/main" r:id="rId8" tgtFrame="&quot;_blank&quot;" tooltip="&quot;Palkkakartoitustaulukko (xlsx) (10.9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lkkakartoitustaulukko 2015-04-17">
                      <a:hlinkClick r:id="rId8" tgtFrame="&quot;_blank&quot;" tooltip="&quot;Palkkakartoitustaulukko (xlsx) (10.9 KB)&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3620" cy="1722120"/>
                    </a:xfrm>
                    <a:prstGeom prst="rect">
                      <a:avLst/>
                    </a:prstGeom>
                    <a:noFill/>
                    <a:ln>
                      <a:noFill/>
                    </a:ln>
                  </pic:spPr>
                </pic:pic>
              </a:graphicData>
            </a:graphic>
          </wp:inline>
        </w:drawing>
      </w:r>
    </w:p>
    <w:p>
      <w:pPr>
        <w:spacing w:line="240" w:lineRule="auto"/>
        <w:rPr>
          <w:rFonts w:ascii="Times New Roman" w:eastAsia="Times New Roman" w:hAnsi="Times New Roman" w:cs="Times New Roman"/>
          <w:color w:val="333333"/>
          <w:sz w:val="21"/>
          <w:szCs w:val="21"/>
          <w:lang w:eastAsia="fi-FI"/>
        </w:rPr>
      </w:pPr>
      <w:r>
        <w:rPr>
          <w:rFonts w:ascii="Times New Roman" w:eastAsia="Times New Roman" w:hAnsi="Times New Roman" w:cs="Times New Roman"/>
          <w:color w:val="333333"/>
          <w:sz w:val="21"/>
          <w:szCs w:val="21"/>
          <w:lang w:eastAsia="fi-FI"/>
        </w:rPr>
        <w:br/>
      </w:r>
      <w:hyperlink r:id="rId10" w:tgtFrame="_blank" w:tooltip="Palkkakartoitustaulukko (xlsx) (10.9 KB)" w:history="1">
        <w:r>
          <w:rPr>
            <w:rFonts w:ascii="Times New Roman" w:eastAsia="Times New Roman" w:hAnsi="Times New Roman" w:cs="Times New Roman"/>
            <w:color w:val="0046AD"/>
            <w:sz w:val="21"/>
            <w:szCs w:val="21"/>
            <w:lang w:eastAsia="fi-FI"/>
          </w:rPr>
          <w:t>Palk</w:t>
        </w:r>
        <w:r>
          <w:rPr>
            <w:rFonts w:ascii="Times New Roman" w:eastAsia="Times New Roman" w:hAnsi="Times New Roman" w:cs="Times New Roman"/>
            <w:color w:val="0046AD"/>
            <w:sz w:val="21"/>
            <w:szCs w:val="21"/>
            <w:lang w:eastAsia="fi-FI"/>
          </w:rPr>
          <w:softHyphen/>
          <w:t>ka</w:t>
        </w:r>
        <w:r>
          <w:rPr>
            <w:rFonts w:ascii="Times New Roman" w:eastAsia="Times New Roman" w:hAnsi="Times New Roman" w:cs="Times New Roman"/>
            <w:color w:val="0046AD"/>
            <w:sz w:val="21"/>
            <w:szCs w:val="21"/>
            <w:lang w:eastAsia="fi-FI"/>
          </w:rPr>
          <w:softHyphen/>
          <w:t>kar</w:t>
        </w:r>
        <w:r>
          <w:rPr>
            <w:rFonts w:ascii="Times New Roman" w:eastAsia="Times New Roman" w:hAnsi="Times New Roman" w:cs="Times New Roman"/>
            <w:color w:val="0046AD"/>
            <w:sz w:val="21"/>
            <w:szCs w:val="21"/>
            <w:lang w:eastAsia="fi-FI"/>
          </w:rPr>
          <w:softHyphen/>
          <w:t>toi</w:t>
        </w:r>
        <w:r>
          <w:rPr>
            <w:rFonts w:ascii="Times New Roman" w:eastAsia="Times New Roman" w:hAnsi="Times New Roman" w:cs="Times New Roman"/>
            <w:color w:val="0046AD"/>
            <w:sz w:val="21"/>
            <w:szCs w:val="21"/>
            <w:lang w:eastAsia="fi-FI"/>
          </w:rPr>
          <w:softHyphen/>
          <w:t>tus</w:t>
        </w:r>
        <w:r>
          <w:rPr>
            <w:rFonts w:ascii="Times New Roman" w:eastAsia="Times New Roman" w:hAnsi="Times New Roman" w:cs="Times New Roman"/>
            <w:color w:val="0046AD"/>
            <w:sz w:val="21"/>
            <w:szCs w:val="21"/>
            <w:lang w:eastAsia="fi-FI"/>
          </w:rPr>
          <w:softHyphen/>
          <w:t>tau</w:t>
        </w:r>
        <w:r>
          <w:rPr>
            <w:rFonts w:ascii="Times New Roman" w:eastAsia="Times New Roman" w:hAnsi="Times New Roman" w:cs="Times New Roman"/>
            <w:color w:val="0046AD"/>
            <w:sz w:val="21"/>
            <w:szCs w:val="21"/>
            <w:lang w:eastAsia="fi-FI"/>
          </w:rPr>
          <w:softHyphen/>
          <w:t>luk</w:t>
        </w:r>
        <w:r>
          <w:rPr>
            <w:rFonts w:ascii="Times New Roman" w:eastAsia="Times New Roman" w:hAnsi="Times New Roman" w:cs="Times New Roman"/>
            <w:color w:val="0046AD"/>
            <w:sz w:val="21"/>
            <w:szCs w:val="21"/>
            <w:lang w:eastAsia="fi-FI"/>
          </w:rPr>
          <w:softHyphen/>
          <w:t xml:space="preserve">ko (xlsx) </w:t>
        </w:r>
      </w:hyperlink>
    </w:p>
    <w:p>
      <w:pPr>
        <w:spacing w:after="0" w:line="240" w:lineRule="auto"/>
        <w:rPr>
          <w:rFonts w:ascii="Times New Roman" w:eastAsia="Times New Roman" w:hAnsi="Times New Roman" w:cs="Times New Roman"/>
          <w:color w:val="333333"/>
          <w:sz w:val="21"/>
          <w:szCs w:val="21"/>
          <w:lang w:eastAsia="fi-FI"/>
        </w:rPr>
      </w:pPr>
      <w:r>
        <w:rPr>
          <w:rFonts w:ascii="Times New Roman" w:eastAsia="Times New Roman" w:hAnsi="Times New Roman" w:cs="Times New Roman"/>
          <w:vanish/>
          <w:color w:val="333333"/>
          <w:sz w:val="21"/>
          <w:szCs w:val="21"/>
          <w:lang w:eastAsia="fi-FI"/>
        </w:rPr>
        <w:br w:type="textWrapping" w:clear="all"/>
      </w:r>
    </w:p>
    <w:p>
      <w:pPr>
        <w:spacing w:before="100" w:beforeAutospacing="1" w:after="100" w:afterAutospacing="1" w:line="240" w:lineRule="auto"/>
        <w:outlineLvl w:val="1"/>
        <w:rPr>
          <w:rFonts w:ascii="Times New Roman" w:eastAsia="Times New Roman" w:hAnsi="Times New Roman" w:cs="Times New Roman"/>
          <w:vanish/>
          <w:color w:val="0046AD"/>
          <w:sz w:val="27"/>
          <w:szCs w:val="27"/>
          <w:lang w:eastAsia="fi-FI"/>
        </w:rPr>
      </w:pPr>
      <w:r>
        <w:rPr>
          <w:rFonts w:ascii="Times New Roman" w:eastAsia="Times New Roman" w:hAnsi="Times New Roman" w:cs="Times New Roman"/>
          <w:vanish/>
          <w:color w:val="0046AD"/>
          <w:sz w:val="27"/>
          <w:szCs w:val="27"/>
          <w:lang w:eastAsia="fi-FI"/>
        </w:rPr>
        <w:t>Sama työ, sama palkka</w:t>
      </w:r>
    </w:p>
    <w:p>
      <w:pPr>
        <w:numPr>
          <w:ilvl w:val="0"/>
          <w:numId w:val="3"/>
        </w:numPr>
        <w:spacing w:before="100" w:beforeAutospacing="1" w:after="100" w:afterAutospacing="1" w:line="240" w:lineRule="auto"/>
        <w:rPr>
          <w:rFonts w:ascii="Times New Roman" w:eastAsia="Times New Roman" w:hAnsi="Times New Roman" w:cs="Times New Roman"/>
          <w:vanish/>
          <w:color w:val="333333"/>
          <w:sz w:val="21"/>
          <w:szCs w:val="21"/>
          <w:lang w:eastAsia="fi-FI"/>
        </w:rPr>
      </w:pPr>
      <w:hyperlink r:id="rId11" w:history="1">
        <w:r>
          <w:rPr>
            <w:rFonts w:ascii="Times New Roman" w:eastAsia="Times New Roman" w:hAnsi="Times New Roman" w:cs="Times New Roman"/>
            <w:vanish/>
            <w:color w:val="0000FF"/>
            <w:sz w:val="21"/>
            <w:szCs w:val="21"/>
            <w:lang w:eastAsia="fi-FI"/>
          </w:rPr>
          <w:t>Palk</w:t>
        </w:r>
        <w:r>
          <w:rPr>
            <w:rFonts w:ascii="Times New Roman" w:eastAsia="Times New Roman" w:hAnsi="Times New Roman" w:cs="Times New Roman"/>
            <w:vanish/>
            <w:color w:val="0000FF"/>
            <w:sz w:val="21"/>
            <w:szCs w:val="21"/>
            <w:lang w:eastAsia="fi-FI"/>
          </w:rPr>
          <w:softHyphen/>
          <w:t>ka</w:t>
        </w:r>
        <w:r>
          <w:rPr>
            <w:rFonts w:ascii="Times New Roman" w:eastAsia="Times New Roman" w:hAnsi="Times New Roman" w:cs="Times New Roman"/>
            <w:vanish/>
            <w:color w:val="0000FF"/>
            <w:sz w:val="21"/>
            <w:szCs w:val="21"/>
            <w:lang w:eastAsia="fi-FI"/>
          </w:rPr>
          <w:softHyphen/>
          <w:t>kar</w:t>
        </w:r>
        <w:r>
          <w:rPr>
            <w:rFonts w:ascii="Times New Roman" w:eastAsia="Times New Roman" w:hAnsi="Times New Roman" w:cs="Times New Roman"/>
            <w:vanish/>
            <w:color w:val="0000FF"/>
            <w:sz w:val="21"/>
            <w:szCs w:val="21"/>
            <w:lang w:eastAsia="fi-FI"/>
          </w:rPr>
          <w:softHyphen/>
          <w:t>toi</w:t>
        </w:r>
        <w:r>
          <w:rPr>
            <w:rFonts w:ascii="Times New Roman" w:eastAsia="Times New Roman" w:hAnsi="Times New Roman" w:cs="Times New Roman"/>
            <w:vanish/>
            <w:color w:val="0000FF"/>
            <w:sz w:val="21"/>
            <w:szCs w:val="21"/>
            <w:lang w:eastAsia="fi-FI"/>
          </w:rPr>
          <w:softHyphen/>
          <w:t xml:space="preserve">tus </w:t>
        </w:r>
      </w:hyperlink>
    </w:p>
    <w:p>
      <w:pPr>
        <w:numPr>
          <w:ilvl w:val="0"/>
          <w:numId w:val="3"/>
        </w:numPr>
        <w:spacing w:before="100" w:beforeAutospacing="1" w:after="100" w:afterAutospacing="1" w:line="240" w:lineRule="auto"/>
        <w:rPr>
          <w:rFonts w:ascii="Times New Roman" w:eastAsia="Times New Roman" w:hAnsi="Times New Roman" w:cs="Times New Roman"/>
          <w:vanish/>
          <w:color w:val="333333"/>
          <w:sz w:val="21"/>
          <w:szCs w:val="21"/>
          <w:lang w:eastAsia="fi-FI"/>
        </w:rPr>
      </w:pPr>
      <w:hyperlink r:id="rId12" w:history="1">
        <w:r>
          <w:rPr>
            <w:rFonts w:ascii="Times New Roman" w:eastAsia="Times New Roman" w:hAnsi="Times New Roman" w:cs="Times New Roman"/>
            <w:vanish/>
            <w:color w:val="0000FF"/>
            <w:sz w:val="21"/>
            <w:szCs w:val="21"/>
            <w:lang w:eastAsia="fi-FI"/>
          </w:rPr>
          <w:t>Palk</w:t>
        </w:r>
        <w:r>
          <w:rPr>
            <w:rFonts w:ascii="Times New Roman" w:eastAsia="Times New Roman" w:hAnsi="Times New Roman" w:cs="Times New Roman"/>
            <w:vanish/>
            <w:color w:val="0000FF"/>
            <w:sz w:val="21"/>
            <w:szCs w:val="21"/>
            <w:lang w:eastAsia="fi-FI"/>
          </w:rPr>
          <w:softHyphen/>
          <w:t>kae</w:t>
        </w:r>
        <w:r>
          <w:rPr>
            <w:rFonts w:ascii="Times New Roman" w:eastAsia="Times New Roman" w:hAnsi="Times New Roman" w:cs="Times New Roman"/>
            <w:vanish/>
            <w:color w:val="0000FF"/>
            <w:sz w:val="21"/>
            <w:szCs w:val="21"/>
            <w:lang w:eastAsia="fi-FI"/>
          </w:rPr>
          <w:softHyphen/>
          <w:t>rot nu</w:t>
        </w:r>
        <w:r>
          <w:rPr>
            <w:rFonts w:ascii="Times New Roman" w:eastAsia="Times New Roman" w:hAnsi="Times New Roman" w:cs="Times New Roman"/>
            <w:vanish/>
            <w:color w:val="0000FF"/>
            <w:sz w:val="21"/>
            <w:szCs w:val="21"/>
            <w:lang w:eastAsia="fi-FI"/>
          </w:rPr>
          <w:softHyphen/>
          <w:t>me</w:t>
        </w:r>
        <w:r>
          <w:rPr>
            <w:rFonts w:ascii="Times New Roman" w:eastAsia="Times New Roman" w:hAnsi="Times New Roman" w:cs="Times New Roman"/>
            <w:vanish/>
            <w:color w:val="0000FF"/>
            <w:sz w:val="21"/>
            <w:szCs w:val="21"/>
            <w:lang w:eastAsia="fi-FI"/>
          </w:rPr>
          <w:softHyphen/>
          <w:t>roi</w:t>
        </w:r>
        <w:r>
          <w:rPr>
            <w:rFonts w:ascii="Times New Roman" w:eastAsia="Times New Roman" w:hAnsi="Times New Roman" w:cs="Times New Roman"/>
            <w:vanish/>
            <w:color w:val="0000FF"/>
            <w:sz w:val="21"/>
            <w:szCs w:val="21"/>
            <w:lang w:eastAsia="fi-FI"/>
          </w:rPr>
          <w:softHyphen/>
          <w:t xml:space="preserve">na </w:t>
        </w:r>
      </w:hyperlink>
    </w:p>
    <w:p>
      <w:pPr>
        <w:numPr>
          <w:ilvl w:val="0"/>
          <w:numId w:val="3"/>
        </w:numPr>
        <w:spacing w:before="100" w:beforeAutospacing="1" w:after="100" w:afterAutospacing="1" w:line="240" w:lineRule="auto"/>
        <w:rPr>
          <w:rFonts w:ascii="Times New Roman" w:eastAsia="Times New Roman" w:hAnsi="Times New Roman" w:cs="Times New Roman"/>
          <w:vanish/>
          <w:color w:val="333333"/>
          <w:sz w:val="21"/>
          <w:szCs w:val="21"/>
          <w:lang w:eastAsia="fi-FI"/>
        </w:rPr>
      </w:pPr>
      <w:hyperlink r:id="rId13" w:history="1">
        <w:r>
          <w:rPr>
            <w:rFonts w:ascii="Times New Roman" w:eastAsia="Times New Roman" w:hAnsi="Times New Roman" w:cs="Times New Roman"/>
            <w:vanish/>
            <w:color w:val="0000FF"/>
            <w:sz w:val="21"/>
            <w:szCs w:val="21"/>
            <w:lang w:eastAsia="fi-FI"/>
          </w:rPr>
          <w:t>Palk</w:t>
        </w:r>
        <w:r>
          <w:rPr>
            <w:rFonts w:ascii="Times New Roman" w:eastAsia="Times New Roman" w:hAnsi="Times New Roman" w:cs="Times New Roman"/>
            <w:vanish/>
            <w:color w:val="0000FF"/>
            <w:sz w:val="21"/>
            <w:szCs w:val="21"/>
            <w:lang w:eastAsia="fi-FI"/>
          </w:rPr>
          <w:softHyphen/>
          <w:t>kaus</w:t>
        </w:r>
        <w:r>
          <w:rPr>
            <w:rFonts w:ascii="Times New Roman" w:eastAsia="Times New Roman" w:hAnsi="Times New Roman" w:cs="Times New Roman"/>
            <w:vanish/>
            <w:color w:val="0000FF"/>
            <w:sz w:val="21"/>
            <w:szCs w:val="21"/>
            <w:lang w:eastAsia="fi-FI"/>
          </w:rPr>
          <w:softHyphen/>
          <w:t>tie</w:t>
        </w:r>
        <w:r>
          <w:rPr>
            <w:rFonts w:ascii="Times New Roman" w:eastAsia="Times New Roman" w:hAnsi="Times New Roman" w:cs="Times New Roman"/>
            <w:vanish/>
            <w:color w:val="0000FF"/>
            <w:sz w:val="21"/>
            <w:szCs w:val="21"/>
            <w:lang w:eastAsia="fi-FI"/>
          </w:rPr>
          <w:softHyphen/>
          <w:t>tä</w:t>
        </w:r>
        <w:r>
          <w:rPr>
            <w:rFonts w:ascii="Times New Roman" w:eastAsia="Times New Roman" w:hAnsi="Times New Roman" w:cs="Times New Roman"/>
            <w:vanish/>
            <w:color w:val="0000FF"/>
            <w:sz w:val="21"/>
            <w:szCs w:val="21"/>
            <w:lang w:eastAsia="fi-FI"/>
          </w:rPr>
          <w:softHyphen/>
          <w:t>mys lisää tyy</w:t>
        </w:r>
        <w:r>
          <w:rPr>
            <w:rFonts w:ascii="Times New Roman" w:eastAsia="Times New Roman" w:hAnsi="Times New Roman" w:cs="Times New Roman"/>
            <w:vanish/>
            <w:color w:val="0000FF"/>
            <w:sz w:val="21"/>
            <w:szCs w:val="21"/>
            <w:lang w:eastAsia="fi-FI"/>
          </w:rPr>
          <w:softHyphen/>
          <w:t>ty</w:t>
        </w:r>
        <w:r>
          <w:rPr>
            <w:rFonts w:ascii="Times New Roman" w:eastAsia="Times New Roman" w:hAnsi="Times New Roman" w:cs="Times New Roman"/>
            <w:vanish/>
            <w:color w:val="0000FF"/>
            <w:sz w:val="21"/>
            <w:szCs w:val="21"/>
            <w:lang w:eastAsia="fi-FI"/>
          </w:rPr>
          <w:softHyphen/>
          <w:t>väi</w:t>
        </w:r>
        <w:r>
          <w:rPr>
            <w:rFonts w:ascii="Times New Roman" w:eastAsia="Times New Roman" w:hAnsi="Times New Roman" w:cs="Times New Roman"/>
            <w:vanish/>
            <w:color w:val="0000FF"/>
            <w:sz w:val="21"/>
            <w:szCs w:val="21"/>
            <w:lang w:eastAsia="fi-FI"/>
          </w:rPr>
          <w:softHyphen/>
          <w:t>syyt</w:t>
        </w:r>
        <w:r>
          <w:rPr>
            <w:rFonts w:ascii="Times New Roman" w:eastAsia="Times New Roman" w:hAnsi="Times New Roman" w:cs="Times New Roman"/>
            <w:vanish/>
            <w:color w:val="0000FF"/>
            <w:sz w:val="21"/>
            <w:szCs w:val="21"/>
            <w:lang w:eastAsia="fi-FI"/>
          </w:rPr>
          <w:softHyphen/>
          <w:t xml:space="preserve">tä </w:t>
        </w:r>
      </w:hyperlink>
    </w:p>
    <w:p>
      <w:pPr>
        <w:spacing w:after="0" w:line="240" w:lineRule="auto"/>
        <w:rPr>
          <w:rFonts w:ascii="Times New Roman" w:eastAsia="Times New Roman" w:hAnsi="Times New Roman" w:cs="Times New Roman"/>
          <w:color w:val="333333"/>
          <w:sz w:val="21"/>
          <w:szCs w:val="21"/>
          <w:lang w:eastAsia="fi-FI"/>
        </w:rPr>
      </w:pPr>
    </w:p>
    <w:sectPr>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RW Clarendon W01 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01BD7"/>
    <w:multiLevelType w:val="multilevel"/>
    <w:tmpl w:val="8910A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EC4D84"/>
    <w:multiLevelType w:val="multilevel"/>
    <w:tmpl w:val="27AC3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E80FEE"/>
    <w:multiLevelType w:val="multilevel"/>
    <w:tmpl w:val="84B82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7391417"/>
    <w:multiLevelType w:val="multilevel"/>
    <w:tmpl w:val="C86EB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HAnsi"/>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HAnsi"/>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192663">
      <w:bodyDiv w:val="1"/>
      <w:marLeft w:val="0"/>
      <w:marRight w:val="0"/>
      <w:marTop w:val="0"/>
      <w:marBottom w:val="0"/>
      <w:divBdr>
        <w:top w:val="none" w:sz="0" w:space="0" w:color="auto"/>
        <w:left w:val="none" w:sz="0" w:space="0" w:color="auto"/>
        <w:bottom w:val="none" w:sz="0" w:space="0" w:color="auto"/>
        <w:right w:val="none" w:sz="0" w:space="0" w:color="auto"/>
      </w:divBdr>
      <w:divsChild>
        <w:div w:id="93323918">
          <w:marLeft w:val="0"/>
          <w:marRight w:val="0"/>
          <w:marTop w:val="0"/>
          <w:marBottom w:val="0"/>
          <w:divBdr>
            <w:top w:val="none" w:sz="0" w:space="0" w:color="auto"/>
            <w:left w:val="none" w:sz="0" w:space="0" w:color="auto"/>
            <w:bottom w:val="none" w:sz="0" w:space="0" w:color="auto"/>
            <w:right w:val="none" w:sz="0" w:space="0" w:color="auto"/>
          </w:divBdr>
          <w:divsChild>
            <w:div w:id="1949268397">
              <w:marLeft w:val="0"/>
              <w:marRight w:val="0"/>
              <w:marTop w:val="0"/>
              <w:marBottom w:val="0"/>
              <w:divBdr>
                <w:top w:val="none" w:sz="0" w:space="0" w:color="auto"/>
                <w:left w:val="none" w:sz="0" w:space="0" w:color="auto"/>
                <w:bottom w:val="none" w:sz="0" w:space="0" w:color="auto"/>
                <w:right w:val="none" w:sz="0" w:space="0" w:color="auto"/>
              </w:divBdr>
              <w:divsChild>
                <w:div w:id="1144859287">
                  <w:marLeft w:val="0"/>
                  <w:marRight w:val="0"/>
                  <w:marTop w:val="0"/>
                  <w:marBottom w:val="0"/>
                  <w:divBdr>
                    <w:top w:val="none" w:sz="0" w:space="0" w:color="auto"/>
                    <w:left w:val="none" w:sz="0" w:space="0" w:color="auto"/>
                    <w:bottom w:val="none" w:sz="0" w:space="0" w:color="auto"/>
                    <w:right w:val="none" w:sz="0" w:space="0" w:color="auto"/>
                  </w:divBdr>
                  <w:divsChild>
                    <w:div w:id="1472560011">
                      <w:marLeft w:val="0"/>
                      <w:marRight w:val="0"/>
                      <w:marTop w:val="0"/>
                      <w:marBottom w:val="240"/>
                      <w:divBdr>
                        <w:top w:val="none" w:sz="0" w:space="0" w:color="auto"/>
                        <w:left w:val="none" w:sz="0" w:space="0" w:color="auto"/>
                        <w:bottom w:val="none" w:sz="0" w:space="0" w:color="auto"/>
                        <w:right w:val="none" w:sz="0" w:space="0" w:color="auto"/>
                      </w:divBdr>
                    </w:div>
                    <w:div w:id="1915316183">
                      <w:marLeft w:val="0"/>
                      <w:marRight w:val="0"/>
                      <w:marTop w:val="0"/>
                      <w:marBottom w:val="0"/>
                      <w:divBdr>
                        <w:top w:val="none" w:sz="0" w:space="0" w:color="auto"/>
                        <w:left w:val="none" w:sz="0" w:space="0" w:color="auto"/>
                        <w:bottom w:val="none" w:sz="0" w:space="0" w:color="auto"/>
                        <w:right w:val="none" w:sz="0" w:space="0" w:color="auto"/>
                      </w:divBdr>
                      <w:divsChild>
                        <w:div w:id="10385551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424718743">
          <w:marLeft w:val="0"/>
          <w:marRight w:val="0"/>
          <w:marTop w:val="0"/>
          <w:marBottom w:val="0"/>
          <w:divBdr>
            <w:top w:val="none" w:sz="0" w:space="0" w:color="auto"/>
            <w:left w:val="none" w:sz="0" w:space="0" w:color="auto"/>
            <w:bottom w:val="none" w:sz="0" w:space="0" w:color="auto"/>
            <w:right w:val="none" w:sz="0" w:space="0" w:color="auto"/>
          </w:divBdr>
          <w:divsChild>
            <w:div w:id="794252979">
              <w:marLeft w:val="0"/>
              <w:marRight w:val="0"/>
              <w:marTop w:val="0"/>
              <w:marBottom w:val="0"/>
              <w:divBdr>
                <w:top w:val="none" w:sz="0" w:space="0" w:color="auto"/>
                <w:left w:val="none" w:sz="0" w:space="0" w:color="auto"/>
                <w:bottom w:val="none" w:sz="0" w:space="0" w:color="auto"/>
                <w:right w:val="none" w:sz="0" w:space="0" w:color="auto"/>
              </w:divBdr>
              <w:divsChild>
                <w:div w:id="1472551980">
                  <w:marLeft w:val="0"/>
                  <w:marRight w:val="0"/>
                  <w:marTop w:val="0"/>
                  <w:marBottom w:val="0"/>
                  <w:divBdr>
                    <w:top w:val="none" w:sz="0" w:space="0" w:color="auto"/>
                    <w:left w:val="none" w:sz="0" w:space="0" w:color="auto"/>
                    <w:bottom w:val="none" w:sz="0" w:space="0" w:color="auto"/>
                    <w:right w:val="none" w:sz="0" w:space="0" w:color="auto"/>
                  </w:divBdr>
                </w:div>
              </w:divsChild>
            </w:div>
            <w:div w:id="1004472800">
              <w:marLeft w:val="0"/>
              <w:marRight w:val="0"/>
              <w:marTop w:val="0"/>
              <w:marBottom w:val="0"/>
              <w:divBdr>
                <w:top w:val="none" w:sz="0" w:space="0" w:color="auto"/>
                <w:left w:val="none" w:sz="0" w:space="0" w:color="auto"/>
                <w:bottom w:val="none" w:sz="0" w:space="0" w:color="auto"/>
                <w:right w:val="none" w:sz="0" w:space="0" w:color="auto"/>
              </w:divBdr>
            </w:div>
            <w:div w:id="1683626914">
              <w:marLeft w:val="0"/>
              <w:marRight w:val="0"/>
              <w:marTop w:val="0"/>
              <w:marBottom w:val="0"/>
              <w:divBdr>
                <w:top w:val="none" w:sz="0" w:space="0" w:color="auto"/>
                <w:left w:val="none" w:sz="0" w:space="0" w:color="auto"/>
                <w:bottom w:val="none" w:sz="0" w:space="0" w:color="auto"/>
                <w:right w:val="none" w:sz="0" w:space="0" w:color="auto"/>
              </w:divBdr>
              <w:divsChild>
                <w:div w:id="1727558643">
                  <w:marLeft w:val="0"/>
                  <w:marRight w:val="0"/>
                  <w:marTop w:val="0"/>
                  <w:marBottom w:val="240"/>
                  <w:divBdr>
                    <w:top w:val="none" w:sz="0" w:space="0" w:color="auto"/>
                    <w:left w:val="none" w:sz="0" w:space="0" w:color="auto"/>
                    <w:bottom w:val="none" w:sz="0" w:space="0" w:color="auto"/>
                    <w:right w:val="none" w:sz="0" w:space="0" w:color="auto"/>
                  </w:divBdr>
                </w:div>
              </w:divsChild>
            </w:div>
            <w:div w:id="1961379063">
              <w:marLeft w:val="0"/>
              <w:marRight w:val="0"/>
              <w:marTop w:val="0"/>
              <w:marBottom w:val="0"/>
              <w:divBdr>
                <w:top w:val="none" w:sz="0" w:space="0" w:color="auto"/>
                <w:left w:val="none" w:sz="0" w:space="0" w:color="auto"/>
                <w:bottom w:val="none" w:sz="0" w:space="0" w:color="auto"/>
                <w:right w:val="none" w:sz="0" w:space="0" w:color="auto"/>
              </w:divBdr>
              <w:divsChild>
                <w:div w:id="394090741">
                  <w:marLeft w:val="0"/>
                  <w:marRight w:val="0"/>
                  <w:marTop w:val="0"/>
                  <w:marBottom w:val="0"/>
                  <w:divBdr>
                    <w:top w:val="none" w:sz="0" w:space="0" w:color="auto"/>
                    <w:left w:val="none" w:sz="0" w:space="0" w:color="auto"/>
                    <w:bottom w:val="none" w:sz="0" w:space="0" w:color="auto"/>
                    <w:right w:val="none" w:sz="0" w:space="0" w:color="auto"/>
                  </w:divBdr>
                </w:div>
                <w:div w:id="1265843360">
                  <w:marLeft w:val="0"/>
                  <w:marRight w:val="0"/>
                  <w:marTop w:val="0"/>
                  <w:marBottom w:val="0"/>
                  <w:divBdr>
                    <w:top w:val="none" w:sz="0" w:space="0" w:color="auto"/>
                    <w:left w:val="none" w:sz="0" w:space="0" w:color="auto"/>
                    <w:bottom w:val="none" w:sz="0" w:space="0" w:color="auto"/>
                    <w:right w:val="none" w:sz="0" w:space="0" w:color="auto"/>
                  </w:divBdr>
                </w:div>
                <w:div w:id="183109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58081">
          <w:marLeft w:val="0"/>
          <w:marRight w:val="0"/>
          <w:marTop w:val="0"/>
          <w:marBottom w:val="0"/>
          <w:divBdr>
            <w:top w:val="none" w:sz="0" w:space="0" w:color="auto"/>
            <w:left w:val="none" w:sz="0" w:space="0" w:color="auto"/>
            <w:bottom w:val="none" w:sz="0" w:space="0" w:color="auto"/>
            <w:right w:val="none" w:sz="0" w:space="0" w:color="auto"/>
          </w:divBdr>
          <w:divsChild>
            <w:div w:id="154568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ava.fi/files/15312/Palkkakartoitus_taulukko.xlsx" TargetMode="External"/><Relationship Id="rId13" Type="http://schemas.openxmlformats.org/officeDocument/2006/relationships/hyperlink" Target="http://www.akava.fi/tyoelama/tasa-arvo/sama_tyo_sama_palkka/palkkaustietamys_lisaa_tyytyvaisyytta" TargetMode="Externa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hyperlink" Target="http://www.akava.fi/tyoelama/tasa-arvo/sama_tyo_sama_palkka/palkkaerot_numeroi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kava.fi/tyoelama/tasa-arvo/sama_tyo_sama_palkka/palkkakartoitus?printer=1" TargetMode="External"/><Relationship Id="rId11" Type="http://schemas.openxmlformats.org/officeDocument/2006/relationships/hyperlink" Target="http://www.akava.fi/tyoelama/tasa-arvo/sama_tyo_sama_palkka/palkkakartoit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kava.fi/files/15312/Palkkakartoitus_taulukko.xls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6425</Characters>
  <Application>Microsoft Office Word</Application>
  <DocSecurity>0</DocSecurity>
  <Lines>53</Lines>
  <Paragraphs>14</Paragraphs>
  <ScaleCrop>false</ScaleCrop>
  <HeadingPairs>
    <vt:vector size="2" baseType="variant">
      <vt:variant>
        <vt:lpstr>Otsikko</vt:lpstr>
      </vt:variant>
      <vt:variant>
        <vt:i4>1</vt:i4>
      </vt:variant>
    </vt:vector>
  </HeadingPairs>
  <TitlesOfParts>
    <vt:vector size="1" baseType="lpstr">
      <vt:lpstr/>
    </vt:vector>
  </TitlesOfParts>
  <Company>Akavan Erityisalat</Company>
  <LinksUpToDate>false</LinksUpToDate>
  <CharactersWithSpaces>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Lamponen</dc:creator>
  <cp:lastModifiedBy>Helena Lamponen</cp:lastModifiedBy>
  <cp:revision>2</cp:revision>
  <dcterms:created xsi:type="dcterms:W3CDTF">2015-06-12T09:13:00Z</dcterms:created>
  <dcterms:modified xsi:type="dcterms:W3CDTF">2015-06-12T09:13:00Z</dcterms:modified>
</cp:coreProperties>
</file>